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5D9" w:rsidRDefault="002115D9" w:rsidP="002115D9">
      <w:pPr>
        <w:tabs>
          <w:tab w:val="left" w:pos="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tbl>
      <w:tblPr>
        <w:tblStyle w:val="TableGrid"/>
        <w:tblW w:w="14688" w:type="dxa"/>
        <w:tblLook w:val="04A0" w:firstRow="1" w:lastRow="0" w:firstColumn="1" w:lastColumn="0" w:noHBand="0" w:noVBand="1"/>
      </w:tblPr>
      <w:tblGrid>
        <w:gridCol w:w="2931"/>
        <w:gridCol w:w="6807"/>
        <w:gridCol w:w="4950"/>
      </w:tblGrid>
      <w:tr w:rsidR="002115D9" w:rsidRPr="00DC28A2" w:rsidTr="006046C1">
        <w:tc>
          <w:tcPr>
            <w:tcW w:w="2931" w:type="dxa"/>
          </w:tcPr>
          <w:p w:rsidR="002115D9" w:rsidRPr="004E0415" w:rsidRDefault="002115D9" w:rsidP="006046C1">
            <w:pPr>
              <w:tabs>
                <w:tab w:val="left" w:pos="24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4E04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Matière</w:t>
            </w:r>
          </w:p>
        </w:tc>
        <w:tc>
          <w:tcPr>
            <w:tcW w:w="6807" w:type="dxa"/>
          </w:tcPr>
          <w:p w:rsidR="002115D9" w:rsidRPr="004E0415" w:rsidRDefault="002115D9" w:rsidP="006046C1">
            <w:pPr>
              <w:tabs>
                <w:tab w:val="left" w:pos="24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0F55F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Connaissances</w:t>
            </w:r>
          </w:p>
        </w:tc>
        <w:tc>
          <w:tcPr>
            <w:tcW w:w="4950" w:type="dxa"/>
          </w:tcPr>
          <w:p w:rsidR="002115D9" w:rsidRPr="004E0415" w:rsidRDefault="002115D9" w:rsidP="006046C1">
            <w:pPr>
              <w:tabs>
                <w:tab w:val="left" w:pos="24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0F55F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Capacités </w:t>
            </w:r>
            <w:proofErr w:type="spellStart"/>
            <w:r w:rsidRPr="000F55F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declines</w:t>
            </w:r>
            <w:proofErr w:type="spellEnd"/>
            <w:r w:rsidRPr="000F55F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dans une situation d’apprentissage</w:t>
            </w:r>
          </w:p>
        </w:tc>
      </w:tr>
      <w:tr w:rsidR="002115D9" w:rsidRPr="00657870" w:rsidTr="006046C1">
        <w:tc>
          <w:tcPr>
            <w:tcW w:w="2931" w:type="dxa"/>
          </w:tcPr>
          <w:p w:rsidR="002115D9" w:rsidRPr="004E0415" w:rsidRDefault="002115D9" w:rsidP="009D7CDB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Sport Collectif</w:t>
            </w:r>
          </w:p>
        </w:tc>
        <w:tc>
          <w:tcPr>
            <w:tcW w:w="6807" w:type="dxa"/>
          </w:tcPr>
          <w:p w:rsidR="002115D9" w:rsidRPr="004E0415" w:rsidRDefault="002115D9" w:rsidP="006046C1">
            <w:pPr>
              <w:pStyle w:val="ListParagraph"/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</w:tc>
        <w:tc>
          <w:tcPr>
            <w:tcW w:w="4950" w:type="dxa"/>
          </w:tcPr>
          <w:p w:rsidR="002115D9" w:rsidRPr="004E0415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</w:tc>
      </w:tr>
      <w:tr w:rsidR="002115D9" w:rsidRPr="00657870" w:rsidTr="006046C1">
        <w:tc>
          <w:tcPr>
            <w:tcW w:w="2931" w:type="dxa"/>
          </w:tcPr>
          <w:p w:rsidR="002115D9" w:rsidRPr="00A95F4F" w:rsidRDefault="002115D9" w:rsidP="006046C1">
            <w:pPr>
              <w:tabs>
                <w:tab w:val="left" w:pos="245"/>
              </w:tabs>
              <w:rPr>
                <w:rFonts w:ascii="Times New Roman" w:hAnsi="Times New Roman" w:cs="Times New Roman"/>
                <w:b/>
                <w:bCs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fr-FR"/>
              </w:rPr>
              <w:t>Basketball BP1</w:t>
            </w:r>
          </w:p>
          <w:p w:rsidR="002115D9" w:rsidRPr="00A95F4F" w:rsidRDefault="002115D9" w:rsidP="006046C1">
            <w:pPr>
              <w:tabs>
                <w:tab w:val="left" w:pos="245"/>
              </w:tabs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Compétence attendue :</w:t>
            </w:r>
          </w:p>
          <w:p w:rsidR="002115D9" w:rsidRPr="00F9160A" w:rsidRDefault="002115D9" w:rsidP="006046C1">
            <w:pPr>
              <w:tabs>
                <w:tab w:val="left" w:pos="245"/>
              </w:tabs>
              <w:rPr>
                <w:rFonts w:ascii="Times New Roman" w:hAnsi="Times New Roman" w:cs="Times New Roman"/>
                <w:color w:val="FF0000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Dans un jeu à effectif réduit, </w:t>
            </w:r>
            <w:r w:rsidRPr="00F9160A">
              <w:rPr>
                <w:rFonts w:ascii="Times New Roman" w:hAnsi="Times New Roman" w:cs="Times New Roman"/>
                <w:color w:val="FF0000"/>
                <w:sz w:val="18"/>
                <w:szCs w:val="18"/>
                <w:lang w:val="fr-FR"/>
              </w:rPr>
              <w:t>rechercher le gain du match par des choix pertinents d’actions de passe ou dribble pour accéder régulièrement à la zone de marque et tirer en position favorable, face à</w:t>
            </w:r>
          </w:p>
          <w:p w:rsidR="002115D9" w:rsidRPr="00F9160A" w:rsidRDefault="002115D9" w:rsidP="006046C1">
            <w:pPr>
              <w:tabs>
                <w:tab w:val="left" w:pos="245"/>
              </w:tabs>
              <w:rPr>
                <w:rFonts w:ascii="Times New Roman" w:hAnsi="Times New Roman" w:cs="Times New Roman"/>
                <w:color w:val="FF0000"/>
                <w:sz w:val="18"/>
                <w:szCs w:val="18"/>
                <w:lang w:val="fr-FR"/>
              </w:rPr>
            </w:pPr>
            <w:r w:rsidRPr="00F9160A">
              <w:rPr>
                <w:rFonts w:ascii="Times New Roman" w:hAnsi="Times New Roman" w:cs="Times New Roman"/>
                <w:color w:val="FF0000"/>
                <w:sz w:val="18"/>
                <w:szCs w:val="18"/>
                <w:lang w:val="fr-FR"/>
              </w:rPr>
              <w:t>une défense qui cherche à gêner la progression adverse dans le respect du non contact.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S’inscrire dans le cadre d’un projet de jeu simple lié à la progression de la balle. Respecter les partenaires, les adversaires et les décisions de l’arbitre</w:t>
            </w:r>
          </w:p>
        </w:tc>
        <w:tc>
          <w:tcPr>
            <w:tcW w:w="6807" w:type="dxa"/>
          </w:tcPr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fr-FR"/>
              </w:rPr>
              <w:t>Connaissances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Du pratiquant :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Le vocabulaire spécifique : panier, dribble, marcher, rebond.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Les règles simples (sorties et remises en jeu, contact, reprise de dribble, marcher).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Les limites du terrain, la cible à attaquer et la cible à défendre.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Le statut d’attaquant (porteur de balle PB, non porteur de balle NPB) et celui de défenseur D.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La zone de marque et la position favorable de tir.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Les notions d’avant et d’arrière de l’espace de jeu ainsi que celle de jeu direct afin de se situer et circuler par rapport au porteur.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Sa distance maximale de passe, celle de ses partenaires et adversaires, relativisée selon la proximité d’un défenseur.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Sa distance de mise en danger par un défenseur afin de poursuivre ou non la manipulation du ballon.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Les gestes d’arbitrage liés aux fautes essentielles.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Liées aux autres rôles :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L’observateur :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Les éléments recensés dans les observations : possessions de balle, pertes de balles, accès à la zone de marque, tirs et paniers marqués.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Les critères d’efficacité du projet de jeu : proportion ou pourcentage des possessions arrivant en zone de marque.</w:t>
            </w:r>
          </w:p>
        </w:tc>
        <w:tc>
          <w:tcPr>
            <w:tcW w:w="4950" w:type="dxa"/>
          </w:tcPr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fr-FR"/>
              </w:rPr>
              <w:t>Attitudes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Du pratiquant :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S’engager dans le jeu à effectif réduit quels que soient ses partenaires et adversaires.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Respecter les règles, les arbitres, les partenaires, les adversaires et le matériel.</w:t>
            </w:r>
          </w:p>
          <w:p w:rsidR="002115D9" w:rsidRPr="009D7CDB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color w:val="FF0000"/>
                <w:lang w:val="fr-FR"/>
              </w:rPr>
            </w:pPr>
            <w:r w:rsidRPr="009D7CDB">
              <w:rPr>
                <w:rFonts w:ascii="Times New Roman" w:hAnsi="Times New Roman" w:cs="Times New Roman"/>
                <w:color w:val="FF0000"/>
                <w:lang w:val="fr-FR"/>
              </w:rPr>
              <w:t>• Prendre ses responsabilités en tant que PB, NPB et D.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Prendre en compte les informations données par les observateurs pour s’organiser avec ses partenaires dans un projet collectif simple.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Savoir perdre ou gagner dans le respect des adversaires et des partenaires.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Liées aux autres rôles :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L’observateur :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Faire preuve d’attention, de rigueur et d’objectivité sur tout le temps du match.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• Se montrer </w:t>
            </w:r>
            <w:r w:rsidRPr="00233317">
              <w:rPr>
                <w:rFonts w:ascii="Times New Roman" w:hAnsi="Times New Roman" w:cs="Times New Roman"/>
                <w:color w:val="FF0000"/>
                <w:sz w:val="18"/>
                <w:szCs w:val="18"/>
                <w:lang w:val="fr-FR"/>
              </w:rPr>
              <w:t>responsable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des tâches simples confiées : chronométrage, secrétariat, relevé d’informations.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S’impliquer dans la réflexion et les échanges pour aider les autres dans l’élaboration d’un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projet de jeu simple.</w:t>
            </w:r>
          </w:p>
        </w:tc>
      </w:tr>
      <w:tr w:rsidR="002115D9" w:rsidRPr="00DC28A2" w:rsidTr="006046C1">
        <w:tc>
          <w:tcPr>
            <w:tcW w:w="2931" w:type="dxa"/>
          </w:tcPr>
          <w:p w:rsidR="002115D9" w:rsidRPr="00A95F4F" w:rsidRDefault="002115D9" w:rsidP="006046C1">
            <w:pPr>
              <w:tabs>
                <w:tab w:val="left" w:pos="245"/>
              </w:tabs>
              <w:rPr>
                <w:rFonts w:ascii="Times New Roman" w:hAnsi="Times New Roman" w:cs="Times New Roman"/>
                <w:b/>
                <w:bCs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fr-FR"/>
              </w:rPr>
              <w:t>Football</w:t>
            </w:r>
          </w:p>
          <w:p w:rsidR="002115D9" w:rsidRPr="00A95F4F" w:rsidRDefault="002115D9" w:rsidP="006046C1">
            <w:pPr>
              <w:tabs>
                <w:tab w:val="left" w:pos="245"/>
              </w:tabs>
              <w:rPr>
                <w:rFonts w:ascii="Times New Roman" w:hAnsi="Times New Roman" w:cs="Times New Roman"/>
                <w:b/>
                <w:bCs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fr-FR"/>
              </w:rPr>
              <w:t>BP1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Compétence attendue :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Dans un jeu collectif à effectif réduit, rechercher le gain du match par des choix pertinents d’actions de passe ou dribble supposant une maîtrise suffisante du ballon pour accéder régulièrement à la zone de marque et tirer en position favorable, face à une défense qui cherche à gêner la progression adverse.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S’inscrire dans le cadre d’un projet de jeu simple lié à la progression du ballon. Respecter les partenaires, les adversaires et les décisions de l’arbitre</w:t>
            </w:r>
            <w:r w:rsidRPr="00A95F4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fr-FR"/>
              </w:rPr>
              <w:t>.</w:t>
            </w:r>
          </w:p>
        </w:tc>
        <w:tc>
          <w:tcPr>
            <w:tcW w:w="6807" w:type="dxa"/>
          </w:tcPr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fr-FR"/>
              </w:rPr>
              <w:t>Connaissances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Du pratiquant :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Le vocabulaire spécifique (corner, but, contrôle, dribble, pénalty).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Les règles simples : l’engagement, les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sorties et remises en jeu, les contacts).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Les limites du terrain, la cible à attaquer et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la cible à défendre.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Le statut d’attaquant (porteur de balle PB,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non porteur de balle NPB) et de défenseur.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La zone de marque et la position favorable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de tir.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Les repères de placement et de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déplacement par rapport au ballon, aux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partenaires, aux adversaires, au but en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fonction du statut (notion de </w:t>
            </w:r>
            <w:proofErr w:type="spellStart"/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démarquage</w:t>
            </w:r>
            <w:proofErr w:type="gramStart"/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,de</w:t>
            </w:r>
            <w:proofErr w:type="spellEnd"/>
            <w:proofErr w:type="gramEnd"/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replacement défensif).</w:t>
            </w:r>
          </w:p>
          <w:p w:rsidR="002115D9" w:rsidRPr="00A95F4F" w:rsidRDefault="002115D9" w:rsidP="006046C1">
            <w:pPr>
              <w:tabs>
                <w:tab w:val="left" w:pos="245"/>
              </w:tabs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• Les repères d’efficacité dans les gestes </w:t>
            </w:r>
            <w:proofErr w:type="gramStart"/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:d’un</w:t>
            </w:r>
            <w:proofErr w:type="gramEnd"/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contrôle, d’une passe, d’une conduite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du ballon, d’un tir.</w:t>
            </w:r>
          </w:p>
          <w:p w:rsidR="002115D9" w:rsidRPr="00A95F4F" w:rsidRDefault="002115D9" w:rsidP="006046C1">
            <w:pPr>
              <w:tabs>
                <w:tab w:val="left" w:pos="245"/>
              </w:tabs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Les gestes d’arbitrage liés aux fautes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essentielles.</w:t>
            </w:r>
          </w:p>
          <w:p w:rsidR="002115D9" w:rsidRPr="00A95F4F" w:rsidRDefault="002115D9" w:rsidP="006046C1">
            <w:pPr>
              <w:tabs>
                <w:tab w:val="left" w:pos="245"/>
              </w:tabs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Liées aux autres rôles :</w:t>
            </w:r>
          </w:p>
          <w:p w:rsidR="002115D9" w:rsidRPr="00A95F4F" w:rsidRDefault="002115D9" w:rsidP="006046C1">
            <w:pPr>
              <w:tabs>
                <w:tab w:val="left" w:pos="245"/>
              </w:tabs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L’observateur :</w:t>
            </w:r>
          </w:p>
          <w:p w:rsidR="002115D9" w:rsidRPr="00A95F4F" w:rsidRDefault="002115D9" w:rsidP="006046C1">
            <w:pPr>
              <w:tabs>
                <w:tab w:val="left" w:pos="245"/>
              </w:tabs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Les éléments recensés dans les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observations : possessions de balle, pertes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de balles, accès à la zone de marque, tirs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et buts.</w:t>
            </w:r>
          </w:p>
          <w:p w:rsidR="002115D9" w:rsidRPr="00A95F4F" w:rsidRDefault="002115D9" w:rsidP="006046C1">
            <w:pPr>
              <w:tabs>
                <w:tab w:val="left" w:pos="245"/>
              </w:tabs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• Les critères d’efficacité du projet de jeu </w:t>
            </w:r>
            <w:proofErr w:type="gramStart"/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:proportion</w:t>
            </w:r>
            <w:proofErr w:type="gramEnd"/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ou pourcentage des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possessions arrivant en zone de marque</w:t>
            </w:r>
          </w:p>
        </w:tc>
        <w:tc>
          <w:tcPr>
            <w:tcW w:w="4950" w:type="dxa"/>
          </w:tcPr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fr-FR"/>
              </w:rPr>
              <w:t>Attitudes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Du pratiquant :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S’engager dans le jeu à effectif réduit quels que soient ses partenaires et adversaires de façon intègre et avec fair-play.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Respecter les règles, les arbitres, les partenaires, les adversaires et le matériel.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Prendre ses responsabilités en tant que PB, NPB et D.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Prendre en compte les informations données par les observateurs pour s’organiser avec ses partenaires dans un projet collectif simple.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Savoir perdre ou gagner dans le respect des adversaires et des partenaires.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Liées aux autres rôles :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L’observateur :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Faire preuve d’attention, de rigueur et d’objectivité sur tout le temps du match.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Se montrer responsable des tâches simples confiées : chronométrage, secrétariat, relevé d’informations.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S’impliquer dans la réflexion et les échanges pour aider les autres dans l’élab</w:t>
            </w:r>
            <w:bookmarkStart w:id="0" w:name="_GoBack"/>
            <w:bookmarkEnd w:id="0"/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oration d’un projet de jeu simple.</w:t>
            </w:r>
          </w:p>
        </w:tc>
      </w:tr>
    </w:tbl>
    <w:p w:rsidR="002115D9" w:rsidRPr="009D7CDB" w:rsidRDefault="002115D9" w:rsidP="009D7CDB">
      <w:pPr>
        <w:tabs>
          <w:tab w:val="left" w:pos="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115D9" w:rsidRPr="009D7CDB" w:rsidSect="009D7CDB">
      <w:pgSz w:w="15840" w:h="12240" w:orient="landscape"/>
      <w:pgMar w:top="284" w:right="90" w:bottom="1418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851DC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70A6E"/>
    <w:multiLevelType w:val="hybridMultilevel"/>
    <w:tmpl w:val="F56861F6"/>
    <w:lvl w:ilvl="0" w:tplc="1DD040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E7A52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6F3F76"/>
    <w:multiLevelType w:val="hybridMultilevel"/>
    <w:tmpl w:val="4EF21EBE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083A8E"/>
    <w:multiLevelType w:val="hybridMultilevel"/>
    <w:tmpl w:val="E6B8CD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4245A5"/>
    <w:multiLevelType w:val="hybridMultilevel"/>
    <w:tmpl w:val="2FFE9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427A99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732B0C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7A24F5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B15B75"/>
    <w:multiLevelType w:val="hybridMultilevel"/>
    <w:tmpl w:val="8BA83828"/>
    <w:lvl w:ilvl="0" w:tplc="32E4BAAA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0">
    <w:nsid w:val="1A5D17F7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586A81"/>
    <w:multiLevelType w:val="hybridMultilevel"/>
    <w:tmpl w:val="B2FCDA56"/>
    <w:lvl w:ilvl="0" w:tplc="B30A08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343A10"/>
    <w:multiLevelType w:val="hybridMultilevel"/>
    <w:tmpl w:val="1A8E4256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CC06CD"/>
    <w:multiLevelType w:val="hybridMultilevel"/>
    <w:tmpl w:val="16422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6D7678"/>
    <w:multiLevelType w:val="hybridMultilevel"/>
    <w:tmpl w:val="1786F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914238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D558FE"/>
    <w:multiLevelType w:val="hybridMultilevel"/>
    <w:tmpl w:val="C784C5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184D5D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7602AA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20747A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1B4CC7"/>
    <w:multiLevelType w:val="hybridMultilevel"/>
    <w:tmpl w:val="6A8611D2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5C0D28"/>
    <w:multiLevelType w:val="hybridMultilevel"/>
    <w:tmpl w:val="48DA5E94"/>
    <w:lvl w:ilvl="0" w:tplc="20E66B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B8754F"/>
    <w:multiLevelType w:val="hybridMultilevel"/>
    <w:tmpl w:val="6E682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06651E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0A7D4F"/>
    <w:multiLevelType w:val="hybridMultilevel"/>
    <w:tmpl w:val="422E4B5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98E1B95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2428CF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267B06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BB2875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156D13"/>
    <w:multiLevelType w:val="hybridMultilevel"/>
    <w:tmpl w:val="55E48F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E42B28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056CD9"/>
    <w:multiLevelType w:val="hybridMultilevel"/>
    <w:tmpl w:val="4EF21EBE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387B81"/>
    <w:multiLevelType w:val="hybridMultilevel"/>
    <w:tmpl w:val="6A8611D2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FA0F9C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B86B51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252E51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0F244A"/>
    <w:multiLevelType w:val="hybridMultilevel"/>
    <w:tmpl w:val="379265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DE802BE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430429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6"/>
  </w:num>
  <w:num w:numId="3">
    <w:abstractNumId w:val="5"/>
  </w:num>
  <w:num w:numId="4">
    <w:abstractNumId w:val="22"/>
  </w:num>
  <w:num w:numId="5">
    <w:abstractNumId w:val="4"/>
  </w:num>
  <w:num w:numId="6">
    <w:abstractNumId w:val="11"/>
  </w:num>
  <w:num w:numId="7">
    <w:abstractNumId w:val="29"/>
  </w:num>
  <w:num w:numId="8">
    <w:abstractNumId w:val="14"/>
  </w:num>
  <w:num w:numId="9">
    <w:abstractNumId w:val="21"/>
  </w:num>
  <w:num w:numId="10">
    <w:abstractNumId w:val="3"/>
  </w:num>
  <w:num w:numId="11">
    <w:abstractNumId w:val="31"/>
  </w:num>
  <w:num w:numId="12">
    <w:abstractNumId w:val="23"/>
  </w:num>
  <w:num w:numId="13">
    <w:abstractNumId w:val="2"/>
  </w:num>
  <w:num w:numId="14">
    <w:abstractNumId w:val="34"/>
  </w:num>
  <w:num w:numId="15">
    <w:abstractNumId w:val="6"/>
  </w:num>
  <w:num w:numId="16">
    <w:abstractNumId w:val="37"/>
  </w:num>
  <w:num w:numId="17">
    <w:abstractNumId w:val="38"/>
  </w:num>
  <w:num w:numId="18">
    <w:abstractNumId w:val="30"/>
  </w:num>
  <w:num w:numId="19">
    <w:abstractNumId w:val="27"/>
  </w:num>
  <w:num w:numId="20">
    <w:abstractNumId w:val="19"/>
  </w:num>
  <w:num w:numId="21">
    <w:abstractNumId w:val="33"/>
  </w:num>
  <w:num w:numId="22">
    <w:abstractNumId w:val="26"/>
  </w:num>
  <w:num w:numId="23">
    <w:abstractNumId w:val="15"/>
  </w:num>
  <w:num w:numId="24">
    <w:abstractNumId w:val="0"/>
  </w:num>
  <w:num w:numId="25">
    <w:abstractNumId w:val="17"/>
  </w:num>
  <w:num w:numId="26">
    <w:abstractNumId w:val="28"/>
  </w:num>
  <w:num w:numId="27">
    <w:abstractNumId w:val="10"/>
  </w:num>
  <w:num w:numId="28">
    <w:abstractNumId w:val="7"/>
  </w:num>
  <w:num w:numId="29">
    <w:abstractNumId w:val="12"/>
  </w:num>
  <w:num w:numId="30">
    <w:abstractNumId w:val="18"/>
  </w:num>
  <w:num w:numId="31">
    <w:abstractNumId w:val="8"/>
  </w:num>
  <w:num w:numId="32">
    <w:abstractNumId w:val="9"/>
  </w:num>
  <w:num w:numId="33">
    <w:abstractNumId w:val="20"/>
  </w:num>
  <w:num w:numId="34">
    <w:abstractNumId w:val="35"/>
  </w:num>
  <w:num w:numId="35">
    <w:abstractNumId w:val="1"/>
  </w:num>
  <w:num w:numId="36">
    <w:abstractNumId w:val="24"/>
  </w:num>
  <w:num w:numId="37">
    <w:abstractNumId w:val="25"/>
  </w:num>
  <w:num w:numId="38">
    <w:abstractNumId w:val="32"/>
  </w:num>
  <w:num w:numId="3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115D9"/>
    <w:rsid w:val="002115D9"/>
    <w:rsid w:val="002C0DBF"/>
    <w:rsid w:val="003844BB"/>
    <w:rsid w:val="008F4983"/>
    <w:rsid w:val="009D7CDB"/>
    <w:rsid w:val="00A6461E"/>
    <w:rsid w:val="00B37DC8"/>
    <w:rsid w:val="00D5198F"/>
    <w:rsid w:val="00E0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9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15D9"/>
    <w:pPr>
      <w:ind w:left="720"/>
      <w:contextualSpacing/>
    </w:pPr>
    <w:rPr>
      <w:rFonts w:eastAsiaTheme="minorHAnsi"/>
    </w:rPr>
  </w:style>
  <w:style w:type="table" w:styleId="TableGrid">
    <w:name w:val="Table Grid"/>
    <w:basedOn w:val="TableNormal"/>
    <w:uiPriority w:val="59"/>
    <w:rsid w:val="002115D9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115D9"/>
    <w:pPr>
      <w:tabs>
        <w:tab w:val="center" w:pos="4320"/>
        <w:tab w:val="right" w:pos="864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2115D9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2115D9"/>
    <w:pPr>
      <w:tabs>
        <w:tab w:val="center" w:pos="4320"/>
        <w:tab w:val="right" w:pos="864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2115D9"/>
    <w:rPr>
      <w:rFonts w:eastAsiaTheme="minorHAnsi"/>
    </w:rPr>
  </w:style>
  <w:style w:type="table" w:customStyle="1" w:styleId="TableGrid1">
    <w:name w:val="Table Grid1"/>
    <w:basedOn w:val="TableNormal"/>
    <w:next w:val="TableGrid"/>
    <w:uiPriority w:val="59"/>
    <w:rsid w:val="002115D9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59"/>
    <w:rsid w:val="002115D9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115D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15D9"/>
    <w:rPr>
      <w:rFonts w:ascii="Tahoma" w:eastAsiaTheme="minorHAns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B7A9FE74-BBFD-4B26-BC1A-5F799B136840}"/>
</file>

<file path=customXml/itemProps2.xml><?xml version="1.0" encoding="utf-8"?>
<ds:datastoreItem xmlns:ds="http://schemas.openxmlformats.org/officeDocument/2006/customXml" ds:itemID="{C788B2A8-F2E2-4084-9918-23F2ECD6C0A0}"/>
</file>

<file path=customXml/itemProps3.xml><?xml version="1.0" encoding="utf-8"?>
<ds:datastoreItem xmlns:ds="http://schemas.openxmlformats.org/officeDocument/2006/customXml" ds:itemID="{2B6917C6-27CD-4234-AC26-FC4322FEA8C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731</Words>
  <Characters>4171</Characters>
  <Application>Microsoft Office Word</Application>
  <DocSecurity>0</DocSecurity>
  <Lines>34</Lines>
  <Paragraphs>9</Paragraphs>
  <ScaleCrop>false</ScaleCrop>
  <Company/>
  <LinksUpToDate>false</LinksUpToDate>
  <CharactersWithSpaces>4893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hessen</dc:creator>
  <cp:keywords/>
  <dc:description/>
  <cp:lastModifiedBy>user</cp:lastModifiedBy>
  <cp:revision>10</cp:revision>
  <dcterms:created xsi:type="dcterms:W3CDTF">2017-05-13T09:22:00Z</dcterms:created>
  <dcterms:modified xsi:type="dcterms:W3CDTF">2023-04-28T20:40:00Z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