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D9" w:rsidRDefault="002115D9" w:rsidP="002115D9">
      <w:pPr>
        <w:tabs>
          <w:tab w:val="left" w:pos="245"/>
        </w:tabs>
        <w:spacing w:after="0" w:line="240" w:lineRule="auto"/>
        <w:jc w:val="both"/>
        <w:rPr>
          <w:rFonts w:ascii="Times New Roman" w:hAnsi="Times New Roman" w:cs="Times New Roman"/>
          <w:sz w:val="24"/>
          <w:szCs w:val="24"/>
          <w:lang w:val="fr-FR"/>
        </w:rPr>
      </w:pPr>
    </w:p>
    <w:tbl>
      <w:tblPr>
        <w:tblStyle w:val="TableGrid"/>
        <w:tblW w:w="14688" w:type="dxa"/>
        <w:tblLook w:val="04A0" w:firstRow="1" w:lastRow="0" w:firstColumn="1" w:lastColumn="0" w:noHBand="0" w:noVBand="1"/>
      </w:tblPr>
      <w:tblGrid>
        <w:gridCol w:w="2931"/>
        <w:gridCol w:w="5399"/>
        <w:gridCol w:w="6358"/>
      </w:tblGrid>
      <w:tr w:rsidR="002115D9" w:rsidRPr="00DC28A2" w:rsidTr="006E7879">
        <w:tc>
          <w:tcPr>
            <w:tcW w:w="2931" w:type="dxa"/>
          </w:tcPr>
          <w:p w:rsidR="002115D9" w:rsidRPr="004E0415" w:rsidRDefault="002115D9" w:rsidP="006046C1">
            <w:pPr>
              <w:tabs>
                <w:tab w:val="left" w:pos="245"/>
              </w:tabs>
              <w:jc w:val="center"/>
              <w:rPr>
                <w:rFonts w:ascii="Times New Roman" w:hAnsi="Times New Roman" w:cs="Times New Roman"/>
                <w:b/>
                <w:bCs/>
                <w:sz w:val="24"/>
                <w:szCs w:val="24"/>
                <w:lang w:val="fr-FR"/>
              </w:rPr>
            </w:pPr>
            <w:r w:rsidRPr="004E0415">
              <w:rPr>
                <w:rFonts w:ascii="Times New Roman" w:hAnsi="Times New Roman" w:cs="Times New Roman"/>
                <w:b/>
                <w:bCs/>
                <w:sz w:val="24"/>
                <w:szCs w:val="24"/>
                <w:lang w:val="fr-FR"/>
              </w:rPr>
              <w:t>Matière</w:t>
            </w:r>
          </w:p>
        </w:tc>
        <w:tc>
          <w:tcPr>
            <w:tcW w:w="5399" w:type="dxa"/>
          </w:tcPr>
          <w:p w:rsidR="002115D9" w:rsidRPr="004E0415" w:rsidRDefault="002115D9" w:rsidP="006046C1">
            <w:pPr>
              <w:tabs>
                <w:tab w:val="left" w:pos="245"/>
              </w:tabs>
              <w:jc w:val="center"/>
              <w:rPr>
                <w:rFonts w:ascii="Times New Roman" w:hAnsi="Times New Roman" w:cs="Times New Roman"/>
                <w:b/>
                <w:bCs/>
                <w:sz w:val="24"/>
                <w:szCs w:val="24"/>
                <w:lang w:val="fr-FR"/>
              </w:rPr>
            </w:pPr>
            <w:r w:rsidRPr="000F55F0">
              <w:rPr>
                <w:rFonts w:ascii="Times New Roman" w:hAnsi="Times New Roman" w:cs="Times New Roman"/>
                <w:b/>
                <w:bCs/>
                <w:sz w:val="24"/>
                <w:szCs w:val="24"/>
                <w:lang w:val="fr-FR"/>
              </w:rPr>
              <w:t>Connaissances</w:t>
            </w:r>
          </w:p>
        </w:tc>
        <w:tc>
          <w:tcPr>
            <w:tcW w:w="6358" w:type="dxa"/>
          </w:tcPr>
          <w:p w:rsidR="002115D9" w:rsidRPr="004E0415" w:rsidRDefault="002115D9" w:rsidP="006046C1">
            <w:pPr>
              <w:tabs>
                <w:tab w:val="left" w:pos="245"/>
              </w:tabs>
              <w:jc w:val="center"/>
              <w:rPr>
                <w:rFonts w:ascii="Times New Roman" w:hAnsi="Times New Roman" w:cs="Times New Roman"/>
                <w:b/>
                <w:bCs/>
                <w:sz w:val="24"/>
                <w:szCs w:val="24"/>
                <w:lang w:val="fr-FR"/>
              </w:rPr>
            </w:pPr>
            <w:r w:rsidRPr="000F55F0">
              <w:rPr>
                <w:rFonts w:ascii="Times New Roman" w:hAnsi="Times New Roman" w:cs="Times New Roman"/>
                <w:b/>
                <w:bCs/>
                <w:sz w:val="24"/>
                <w:szCs w:val="24"/>
                <w:lang w:val="fr-FR"/>
              </w:rPr>
              <w:t xml:space="preserve">Capacités </w:t>
            </w:r>
            <w:proofErr w:type="spellStart"/>
            <w:r w:rsidRPr="000F55F0">
              <w:rPr>
                <w:rFonts w:ascii="Times New Roman" w:hAnsi="Times New Roman" w:cs="Times New Roman"/>
                <w:b/>
                <w:bCs/>
                <w:sz w:val="24"/>
                <w:szCs w:val="24"/>
                <w:lang w:val="fr-FR"/>
              </w:rPr>
              <w:t>declines</w:t>
            </w:r>
            <w:proofErr w:type="spellEnd"/>
            <w:r w:rsidRPr="000F55F0">
              <w:rPr>
                <w:rFonts w:ascii="Times New Roman" w:hAnsi="Times New Roman" w:cs="Times New Roman"/>
                <w:b/>
                <w:bCs/>
                <w:sz w:val="24"/>
                <w:szCs w:val="24"/>
                <w:lang w:val="fr-FR"/>
              </w:rPr>
              <w:t xml:space="preserve"> dans une situation d’apprentissage</w:t>
            </w:r>
          </w:p>
        </w:tc>
      </w:tr>
      <w:tr w:rsidR="002115D9" w:rsidRPr="00657870" w:rsidTr="006E7879">
        <w:tc>
          <w:tcPr>
            <w:tcW w:w="2931" w:type="dxa"/>
          </w:tcPr>
          <w:p w:rsidR="002115D9" w:rsidRDefault="002115D9" w:rsidP="006046C1">
            <w:pPr>
              <w:tabs>
                <w:tab w:val="left" w:pos="245"/>
              </w:tabs>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Sport Collectif</w:t>
            </w:r>
          </w:p>
          <w:p w:rsidR="002115D9" w:rsidRPr="004E0415" w:rsidRDefault="002115D9" w:rsidP="006046C1">
            <w:pPr>
              <w:tabs>
                <w:tab w:val="left" w:pos="245"/>
              </w:tabs>
              <w:jc w:val="both"/>
              <w:rPr>
                <w:rFonts w:ascii="Times New Roman" w:hAnsi="Times New Roman" w:cs="Times New Roman"/>
                <w:b/>
                <w:bCs/>
                <w:sz w:val="24"/>
                <w:szCs w:val="24"/>
                <w:lang w:val="fr-FR"/>
              </w:rPr>
            </w:pPr>
          </w:p>
        </w:tc>
        <w:tc>
          <w:tcPr>
            <w:tcW w:w="5399" w:type="dxa"/>
          </w:tcPr>
          <w:p w:rsidR="002115D9" w:rsidRPr="004E0415" w:rsidRDefault="002115D9" w:rsidP="006046C1">
            <w:pPr>
              <w:pStyle w:val="ListParagraph"/>
              <w:tabs>
                <w:tab w:val="left" w:pos="245"/>
              </w:tabs>
              <w:jc w:val="both"/>
              <w:rPr>
                <w:rFonts w:ascii="Times New Roman" w:hAnsi="Times New Roman" w:cs="Times New Roman"/>
                <w:b/>
                <w:bCs/>
                <w:sz w:val="24"/>
                <w:szCs w:val="24"/>
                <w:lang w:val="fr-FR"/>
              </w:rPr>
            </w:pPr>
          </w:p>
        </w:tc>
        <w:tc>
          <w:tcPr>
            <w:tcW w:w="6358" w:type="dxa"/>
          </w:tcPr>
          <w:p w:rsidR="002115D9" w:rsidRPr="004E0415" w:rsidRDefault="002115D9" w:rsidP="006046C1">
            <w:pPr>
              <w:tabs>
                <w:tab w:val="left" w:pos="245"/>
              </w:tabs>
              <w:jc w:val="both"/>
              <w:rPr>
                <w:rFonts w:ascii="Times New Roman" w:hAnsi="Times New Roman" w:cs="Times New Roman"/>
                <w:b/>
                <w:bCs/>
                <w:sz w:val="24"/>
                <w:szCs w:val="24"/>
                <w:lang w:val="fr-FR"/>
              </w:rPr>
            </w:pPr>
          </w:p>
        </w:tc>
      </w:tr>
      <w:tr w:rsidR="002115D9" w:rsidRPr="00DC28A2" w:rsidTr="006E7879">
        <w:trPr>
          <w:trHeight w:val="2780"/>
        </w:trPr>
        <w:tc>
          <w:tcPr>
            <w:tcW w:w="2931" w:type="dxa"/>
          </w:tcPr>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Basketball</w:t>
            </w:r>
          </w:p>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BP2</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Compétence attendue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Dans un jeu à effectif réduit, rechercher le gain du match en assurant des montées de balle rapides quand la situation est favorable ou en organisant une première circulation de la balle et des joueurs pour mettre un des attaquants en situation favorable de tir quand la défense est replacée. S’inscrire dans le cadre d’un projet de jeu simple lié aux tirs en situation favorable. Observer et Co-arbitrer.</w:t>
            </w:r>
          </w:p>
        </w:tc>
        <w:tc>
          <w:tcPr>
            <w:tcW w:w="5399" w:type="dxa"/>
          </w:tcPr>
          <w:p w:rsidR="002115D9" w:rsidRPr="00A95F4F" w:rsidRDefault="002115D9" w:rsidP="006046C1">
            <w:pPr>
              <w:tabs>
                <w:tab w:val="left" w:pos="245"/>
              </w:tabs>
              <w:jc w:val="both"/>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Connaissances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règles du jeu (3 secondes dans la raquette).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éléments permettant de décider de la mise en place d’un jeu placé : possibilité du</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porteur, replacement défensif.</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xml:space="preserve">• Différentes modalités de jeu </w:t>
            </w:r>
            <w:proofErr w:type="gramStart"/>
            <w:r w:rsidRPr="00A95F4F">
              <w:rPr>
                <w:rFonts w:ascii="Times New Roman" w:hAnsi="Times New Roman" w:cs="Times New Roman"/>
                <w:sz w:val="18"/>
                <w:szCs w:val="18"/>
                <w:lang w:val="fr-FR"/>
              </w:rPr>
              <w:t>:circulation</w:t>
            </w:r>
            <w:proofErr w:type="gramEnd"/>
            <w:r w:rsidRPr="00A95F4F">
              <w:rPr>
                <w:rFonts w:ascii="Times New Roman" w:hAnsi="Times New Roman" w:cs="Times New Roman"/>
                <w:sz w:val="18"/>
                <w:szCs w:val="18"/>
                <w:lang w:val="fr-FR"/>
              </w:rPr>
              <w:t xml:space="preserve"> de la balle et des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joueurs, organisation simple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des rôles dans la phase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progression ou phase placée.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Ses points forts et points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faibles.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Le Co-arbitre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informations à prélever pour prendre ses décisions d’arbitre.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gestes correspondant aux fautes identifiées.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placements et déplacements en Co-arbitrage pour mieux voir les fautes.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L’observateur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indicateurs de conservation et de progression du ballon, de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situation favorable de tir (tir seul), de tir tenté et tir réussi.</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critères d’efficacité du projet de jeu : pourcentage ou proportion de tirs en situation favorable (sans adversaire entre le PB et la cible pour gêner).</w:t>
            </w:r>
          </w:p>
        </w:tc>
        <w:tc>
          <w:tcPr>
            <w:tcW w:w="6358" w:type="dxa"/>
          </w:tcPr>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Attitudes</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 S’engager dans la construction et la</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réalisation un projet collectif.</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 Accepter la répartition des rôles dans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l’équipe.</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 Prendre ses responsabilités et adapter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ses choix en fonction du score.</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 xml:space="preserve">• Encourager, proposer des </w:t>
            </w:r>
            <w:proofErr w:type="gramStart"/>
            <w:r w:rsidRPr="00A95F4F">
              <w:rPr>
                <w:rFonts w:ascii="Times New Roman" w:hAnsi="Times New Roman" w:cs="Times New Roman"/>
                <w:sz w:val="18"/>
                <w:szCs w:val="18"/>
                <w:lang w:val="fr-FR"/>
              </w:rPr>
              <w:t>solutions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,relativiser</w:t>
            </w:r>
            <w:proofErr w:type="gramEnd"/>
            <w:r w:rsidRPr="00A95F4F">
              <w:rPr>
                <w:rFonts w:ascii="Times New Roman" w:hAnsi="Times New Roman" w:cs="Times New Roman"/>
                <w:sz w:val="18"/>
                <w:szCs w:val="18"/>
                <w:lang w:val="fr-FR"/>
              </w:rPr>
              <w:t xml:space="preserve"> les erreurs de chacun </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 Reconnaître ses fautes.</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 Tenir compte des conseils donnés par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ses partenaires en les considérant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comme une aide et non comme une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critique.</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2115D9" w:rsidRPr="00A95F4F" w:rsidRDefault="002115D9" w:rsidP="006046C1">
            <w:pPr>
              <w:tabs>
                <w:tab w:val="left" w:pos="245"/>
              </w:tabs>
              <w:rPr>
                <w:rFonts w:ascii="Times New Roman" w:hAnsi="Times New Roman" w:cs="Times New Roman"/>
                <w:sz w:val="18"/>
                <w:szCs w:val="18"/>
                <w:lang w:val="fr-FR"/>
              </w:rPr>
            </w:pPr>
            <w:r w:rsidRPr="00A95F4F">
              <w:rPr>
                <w:rFonts w:ascii="Times New Roman" w:hAnsi="Times New Roman" w:cs="Times New Roman"/>
                <w:sz w:val="18"/>
                <w:szCs w:val="18"/>
                <w:lang w:val="fr-FR"/>
              </w:rPr>
              <w:t>Le Co-arbitre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Faire confiance aux Co-arbitres.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réactif et se montrer ferme dans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sa prise de décision.</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Rester impartial et neutre par rapport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aux remarques des joueurs et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spectateurs dans un souci d’équité.</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Inciter les joueurs à faire preuve de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fair-play (appel au calme, se serrer la main en fin de rencontre…).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L’observateur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 mettre à disposition des autres pour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s’entraider dans le travail ou améliorer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l’efficacité du groupe.</w:t>
            </w:r>
          </w:p>
          <w:p w:rsidR="002115D9" w:rsidRPr="00A95F4F" w:rsidRDefault="002115D9"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Faire preuve d’objectivité (rôle tenu au</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regard du projet de jeu) et de tolérance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(différences de ressources entre les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élèves) dans l’observation d’un joueur.</w:t>
            </w:r>
          </w:p>
        </w:tc>
      </w:tr>
      <w:tr w:rsidR="002115D9" w:rsidRPr="00DC28A2" w:rsidTr="006E7879">
        <w:tc>
          <w:tcPr>
            <w:tcW w:w="2931" w:type="dxa"/>
          </w:tcPr>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 xml:space="preserve">Football </w:t>
            </w:r>
          </w:p>
          <w:p w:rsidR="002115D9" w:rsidRPr="00A95F4F" w:rsidRDefault="002115D9" w:rsidP="006046C1">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BP2</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Compétence attendue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Dans un jeu à effectif réduit, rechercher le gain du match en assurant les montées de balle collectives par une continuité des actions avec et sans ballon.</w:t>
            </w:r>
          </w:p>
          <w:p w:rsidR="002115D9" w:rsidRPr="00A95F4F" w:rsidRDefault="002115D9" w:rsidP="006046C1">
            <w:pPr>
              <w:tabs>
                <w:tab w:val="left" w:pos="245"/>
              </w:tabs>
              <w:jc w:val="both"/>
              <w:rPr>
                <w:rFonts w:ascii="Times New Roman" w:hAnsi="Times New Roman" w:cs="Times New Roman"/>
                <w:b/>
                <w:bCs/>
                <w:sz w:val="18"/>
                <w:szCs w:val="18"/>
                <w:lang w:val="fr-FR"/>
              </w:rPr>
            </w:pPr>
            <w:r w:rsidRPr="00A95F4F">
              <w:rPr>
                <w:rFonts w:ascii="Times New Roman" w:hAnsi="Times New Roman" w:cs="Times New Roman"/>
                <w:sz w:val="18"/>
                <w:szCs w:val="18"/>
                <w:lang w:val="fr-FR"/>
              </w:rPr>
              <w:t>S’inscrire dans le cadre d’un projet de jeu simple lié aux tirs en situation favorable. Observer et Co-arbitrer.</w:t>
            </w:r>
          </w:p>
        </w:tc>
        <w:tc>
          <w:tcPr>
            <w:tcW w:w="5399" w:type="dxa"/>
          </w:tcPr>
          <w:p w:rsidR="002115D9" w:rsidRPr="00A95F4F" w:rsidRDefault="002115D9" w:rsidP="006046C1">
            <w:pPr>
              <w:tabs>
                <w:tab w:val="left" w:pos="245"/>
              </w:tabs>
              <w:jc w:val="both"/>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Connaissances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 vocabulaire spécifique enrichi : une deux, appui, soutien, jeu par les couloirs, passe en retrait, recul frein.</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règles adaptées au niveau de jeu (hors-jeu, passe au gardien).</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différentes formes de frappes dans le ballon.</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différentes possibilités d’actions collectives (Jeu long, jeu court, jeu direct, jeu indirect).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Ses points forts et points faibles.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Le Co-arbitre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informations à prélever pour prendre ses décisions d’arbitre.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gestes correspondant aux fautes identifiées en responsabilité.</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placements et déplacements en Co-arbitrage pour mieux voir les fautes.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L’observateur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indicateurs de conservation et de progression du ballon, de situation favorable de tir (tir seul), de tir tenté et tir réussi.</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critères d’efficacité du projet de jeu : pourcentage ou proportion de tirs en situation favorable (sans adversaire entre le PB et la cible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pour gêner)</w:t>
            </w:r>
          </w:p>
        </w:tc>
        <w:tc>
          <w:tcPr>
            <w:tcW w:w="6358" w:type="dxa"/>
          </w:tcPr>
          <w:p w:rsidR="002115D9" w:rsidRPr="00A95F4F" w:rsidRDefault="002115D9" w:rsidP="006046C1">
            <w:pPr>
              <w:tabs>
                <w:tab w:val="left" w:pos="245"/>
              </w:tabs>
              <w:jc w:val="both"/>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Attitudes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S’engager dans la construction et la</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réalisation un projet collectif.</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Accepter la répartition des rôles dans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l’équipe.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Prendre ses responsabilités et adapter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ses choix en fonction du score.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xml:space="preserve">• Encourager, proposer des </w:t>
            </w:r>
            <w:proofErr w:type="gramStart"/>
            <w:r w:rsidRPr="00A95F4F">
              <w:rPr>
                <w:rFonts w:ascii="Times New Roman" w:hAnsi="Times New Roman" w:cs="Times New Roman"/>
                <w:sz w:val="18"/>
                <w:szCs w:val="18"/>
                <w:lang w:val="fr-FR"/>
              </w:rPr>
              <w:t>solutions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,relativiser</w:t>
            </w:r>
            <w:proofErr w:type="gramEnd"/>
            <w:r w:rsidRPr="00A95F4F">
              <w:rPr>
                <w:rFonts w:ascii="Times New Roman" w:hAnsi="Times New Roman" w:cs="Times New Roman"/>
                <w:sz w:val="18"/>
                <w:szCs w:val="18"/>
                <w:lang w:val="fr-FR"/>
              </w:rPr>
              <w:t xml:space="preserve"> les erreurs de chacun et le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score.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Reconnaître ses fautes.</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Tenir compte des conseils donnés par</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ses partenaires en les considérant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comme une aide et non comme une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critique.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Le Co-arbitre :</w:t>
            </w:r>
          </w:p>
          <w:p w:rsidR="002115D9" w:rsidRPr="006E7879" w:rsidRDefault="002115D9" w:rsidP="006046C1">
            <w:pPr>
              <w:tabs>
                <w:tab w:val="left" w:pos="245"/>
              </w:tabs>
              <w:jc w:val="both"/>
              <w:rPr>
                <w:rFonts w:ascii="Times New Roman" w:hAnsi="Times New Roman" w:cs="Times New Roman"/>
                <w:color w:val="FF0000"/>
                <w:sz w:val="24"/>
                <w:szCs w:val="24"/>
                <w:lang w:val="fr-FR"/>
              </w:rPr>
            </w:pPr>
            <w:bookmarkStart w:id="0" w:name="_GoBack"/>
            <w:r w:rsidRPr="006E7879">
              <w:rPr>
                <w:rFonts w:ascii="Times New Roman" w:hAnsi="Times New Roman" w:cs="Times New Roman"/>
                <w:sz w:val="12"/>
                <w:szCs w:val="12"/>
                <w:lang w:val="fr-FR"/>
              </w:rPr>
              <w:t xml:space="preserve">• </w:t>
            </w:r>
            <w:r w:rsidRPr="006E7879">
              <w:rPr>
                <w:rFonts w:ascii="Times New Roman" w:hAnsi="Times New Roman" w:cs="Times New Roman"/>
                <w:color w:val="FF0000"/>
                <w:sz w:val="24"/>
                <w:szCs w:val="24"/>
                <w:lang w:val="fr-FR"/>
              </w:rPr>
              <w:t>S’imposer dans ses décisions en les justifiant.</w:t>
            </w:r>
          </w:p>
          <w:bookmarkEnd w:id="0"/>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Rester impartial et neutre par rapport</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aux remarques des joueurs et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spectateurs dans un souci d’équité.</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L’observateur :</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Garder sa vigilance, sa neutralité et sa</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rigueur tout au long du match quelle</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que soit l’évolution du score.</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Faire preuve d’objectivité (rôle tenu au</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 xml:space="preserve">regard du projet de jeu) et de </w:t>
            </w:r>
            <w:proofErr w:type="gramStart"/>
            <w:r w:rsidRPr="00A95F4F">
              <w:rPr>
                <w:rFonts w:ascii="Times New Roman" w:hAnsi="Times New Roman" w:cs="Times New Roman"/>
                <w:sz w:val="18"/>
                <w:szCs w:val="18"/>
                <w:lang w:val="fr-FR"/>
              </w:rPr>
              <w:t>tolérance(</w:t>
            </w:r>
            <w:proofErr w:type="gramEnd"/>
            <w:r w:rsidRPr="00A95F4F">
              <w:rPr>
                <w:rFonts w:ascii="Times New Roman" w:hAnsi="Times New Roman" w:cs="Times New Roman"/>
                <w:sz w:val="18"/>
                <w:szCs w:val="18"/>
                <w:lang w:val="fr-FR"/>
              </w:rPr>
              <w:t>différences de ressources entre les</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élèves) dans l’observation d’un joueur.</w:t>
            </w:r>
          </w:p>
          <w:p w:rsidR="002115D9" w:rsidRPr="00A95F4F" w:rsidRDefault="002115D9" w:rsidP="006046C1">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Prendre de la distance et avoir un</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regard critique sur le football de haut</w:t>
            </w:r>
            <w:r>
              <w:rPr>
                <w:rFonts w:ascii="Times New Roman" w:hAnsi="Times New Roman" w:cs="Times New Roman"/>
                <w:sz w:val="18"/>
                <w:szCs w:val="18"/>
                <w:lang w:val="fr-FR"/>
              </w:rPr>
              <w:t xml:space="preserve"> </w:t>
            </w:r>
            <w:r w:rsidRPr="00A95F4F">
              <w:rPr>
                <w:rFonts w:ascii="Times New Roman" w:hAnsi="Times New Roman" w:cs="Times New Roman"/>
                <w:sz w:val="18"/>
                <w:szCs w:val="18"/>
                <w:lang w:val="fr-FR"/>
              </w:rPr>
              <w:t>niveau.</w:t>
            </w:r>
          </w:p>
        </w:tc>
      </w:tr>
    </w:tbl>
    <w:p w:rsidR="008F4983" w:rsidRDefault="008F4983" w:rsidP="006E7879">
      <w:pPr>
        <w:tabs>
          <w:tab w:val="left" w:pos="245"/>
        </w:tabs>
        <w:spacing w:after="0" w:line="240" w:lineRule="auto"/>
        <w:jc w:val="both"/>
      </w:pPr>
    </w:p>
    <w:sectPr w:rsidR="008F4983" w:rsidSect="006E7879">
      <w:pgSz w:w="15840" w:h="12240" w:orient="landscape"/>
      <w:pgMar w:top="568" w:right="90" w:bottom="1135"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1D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A6E"/>
    <w:multiLevelType w:val="hybridMultilevel"/>
    <w:tmpl w:val="F56861F6"/>
    <w:lvl w:ilvl="0" w:tplc="1DD04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E7A5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F3F76"/>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83A8E"/>
    <w:multiLevelType w:val="hybridMultilevel"/>
    <w:tmpl w:val="E6B8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245A5"/>
    <w:multiLevelType w:val="hybridMultilevel"/>
    <w:tmpl w:val="2FFE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27A9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32B0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A24F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B15B75"/>
    <w:multiLevelType w:val="hybridMultilevel"/>
    <w:tmpl w:val="8BA83828"/>
    <w:lvl w:ilvl="0" w:tplc="32E4BAA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1A5D17F7"/>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86A81"/>
    <w:multiLevelType w:val="hybridMultilevel"/>
    <w:tmpl w:val="B2FCDA56"/>
    <w:lvl w:ilvl="0" w:tplc="B30A08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43A10"/>
    <w:multiLevelType w:val="hybridMultilevel"/>
    <w:tmpl w:val="1A8E4256"/>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C06CD"/>
    <w:multiLevelType w:val="hybridMultilevel"/>
    <w:tmpl w:val="16422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6D7678"/>
    <w:multiLevelType w:val="hybridMultilevel"/>
    <w:tmpl w:val="1786F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1423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D558FE"/>
    <w:multiLevelType w:val="hybridMultilevel"/>
    <w:tmpl w:val="C784C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84D5D"/>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7602A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20747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1B4CC7"/>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5C0D28"/>
    <w:multiLevelType w:val="hybridMultilevel"/>
    <w:tmpl w:val="48DA5E94"/>
    <w:lvl w:ilvl="0" w:tplc="20E66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B8754F"/>
    <w:multiLevelType w:val="hybridMultilevel"/>
    <w:tmpl w:val="6E6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06651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0A7D4F"/>
    <w:multiLevelType w:val="hybridMultilevel"/>
    <w:tmpl w:val="422E4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8E1B9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428CF"/>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267B06"/>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BB287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156D13"/>
    <w:multiLevelType w:val="hybridMultilevel"/>
    <w:tmpl w:val="55E4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E42B2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056CD9"/>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387B81"/>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FA0F9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B86B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252E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0F244A"/>
    <w:multiLevelType w:val="hybridMultilevel"/>
    <w:tmpl w:val="3792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E802B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43042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6"/>
  </w:num>
  <w:num w:numId="3">
    <w:abstractNumId w:val="5"/>
  </w:num>
  <w:num w:numId="4">
    <w:abstractNumId w:val="22"/>
  </w:num>
  <w:num w:numId="5">
    <w:abstractNumId w:val="4"/>
  </w:num>
  <w:num w:numId="6">
    <w:abstractNumId w:val="11"/>
  </w:num>
  <w:num w:numId="7">
    <w:abstractNumId w:val="29"/>
  </w:num>
  <w:num w:numId="8">
    <w:abstractNumId w:val="14"/>
  </w:num>
  <w:num w:numId="9">
    <w:abstractNumId w:val="21"/>
  </w:num>
  <w:num w:numId="10">
    <w:abstractNumId w:val="3"/>
  </w:num>
  <w:num w:numId="11">
    <w:abstractNumId w:val="31"/>
  </w:num>
  <w:num w:numId="12">
    <w:abstractNumId w:val="23"/>
  </w:num>
  <w:num w:numId="13">
    <w:abstractNumId w:val="2"/>
  </w:num>
  <w:num w:numId="14">
    <w:abstractNumId w:val="34"/>
  </w:num>
  <w:num w:numId="15">
    <w:abstractNumId w:val="6"/>
  </w:num>
  <w:num w:numId="16">
    <w:abstractNumId w:val="37"/>
  </w:num>
  <w:num w:numId="17">
    <w:abstractNumId w:val="38"/>
  </w:num>
  <w:num w:numId="18">
    <w:abstractNumId w:val="30"/>
  </w:num>
  <w:num w:numId="19">
    <w:abstractNumId w:val="27"/>
  </w:num>
  <w:num w:numId="20">
    <w:abstractNumId w:val="19"/>
  </w:num>
  <w:num w:numId="21">
    <w:abstractNumId w:val="33"/>
  </w:num>
  <w:num w:numId="22">
    <w:abstractNumId w:val="26"/>
  </w:num>
  <w:num w:numId="23">
    <w:abstractNumId w:val="15"/>
  </w:num>
  <w:num w:numId="24">
    <w:abstractNumId w:val="0"/>
  </w:num>
  <w:num w:numId="25">
    <w:abstractNumId w:val="17"/>
  </w:num>
  <w:num w:numId="26">
    <w:abstractNumId w:val="28"/>
  </w:num>
  <w:num w:numId="27">
    <w:abstractNumId w:val="10"/>
  </w:num>
  <w:num w:numId="28">
    <w:abstractNumId w:val="7"/>
  </w:num>
  <w:num w:numId="29">
    <w:abstractNumId w:val="12"/>
  </w:num>
  <w:num w:numId="30">
    <w:abstractNumId w:val="18"/>
  </w:num>
  <w:num w:numId="31">
    <w:abstractNumId w:val="8"/>
  </w:num>
  <w:num w:numId="32">
    <w:abstractNumId w:val="9"/>
  </w:num>
  <w:num w:numId="33">
    <w:abstractNumId w:val="20"/>
  </w:num>
  <w:num w:numId="34">
    <w:abstractNumId w:val="35"/>
  </w:num>
  <w:num w:numId="35">
    <w:abstractNumId w:val="1"/>
  </w:num>
  <w:num w:numId="36">
    <w:abstractNumId w:val="24"/>
  </w:num>
  <w:num w:numId="37">
    <w:abstractNumId w:val="25"/>
  </w:num>
  <w:num w:numId="38">
    <w:abstractNumId w:val="3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115D9"/>
    <w:rsid w:val="002115D9"/>
    <w:rsid w:val="002C0DBF"/>
    <w:rsid w:val="003844BB"/>
    <w:rsid w:val="006E7879"/>
    <w:rsid w:val="008F4983"/>
    <w:rsid w:val="00A6461E"/>
    <w:rsid w:val="00B37DC8"/>
    <w:rsid w:val="00D5198F"/>
    <w:rsid w:val="00E068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5D9"/>
    <w:pPr>
      <w:ind w:left="720"/>
      <w:contextualSpacing/>
    </w:pPr>
    <w:rPr>
      <w:rFonts w:eastAsiaTheme="minorHAnsi"/>
    </w:rPr>
  </w:style>
  <w:style w:type="table" w:styleId="TableGrid">
    <w:name w:val="Table Grid"/>
    <w:basedOn w:val="TableNormal"/>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115D9"/>
    <w:pPr>
      <w:tabs>
        <w:tab w:val="center" w:pos="4320"/>
        <w:tab w:val="right" w:pos="8640"/>
      </w:tabs>
      <w:spacing w:after="0" w:line="240" w:lineRule="auto"/>
    </w:pPr>
    <w:rPr>
      <w:rFonts w:eastAsiaTheme="minorHAnsi"/>
    </w:rPr>
  </w:style>
  <w:style w:type="character" w:customStyle="1" w:styleId="HeaderChar">
    <w:name w:val="Header Char"/>
    <w:basedOn w:val="DefaultParagraphFont"/>
    <w:link w:val="Header"/>
    <w:uiPriority w:val="99"/>
    <w:rsid w:val="002115D9"/>
    <w:rPr>
      <w:rFonts w:eastAsiaTheme="minorHAnsi"/>
    </w:rPr>
  </w:style>
  <w:style w:type="paragraph" w:styleId="Footer">
    <w:name w:val="footer"/>
    <w:basedOn w:val="Normal"/>
    <w:link w:val="FooterChar"/>
    <w:uiPriority w:val="99"/>
    <w:unhideWhenUsed/>
    <w:rsid w:val="002115D9"/>
    <w:pPr>
      <w:tabs>
        <w:tab w:val="center" w:pos="4320"/>
        <w:tab w:val="right" w:pos="8640"/>
      </w:tabs>
      <w:spacing w:after="0" w:line="240" w:lineRule="auto"/>
    </w:pPr>
    <w:rPr>
      <w:rFonts w:eastAsiaTheme="minorHAnsi"/>
    </w:rPr>
  </w:style>
  <w:style w:type="character" w:customStyle="1" w:styleId="FooterChar">
    <w:name w:val="Footer Char"/>
    <w:basedOn w:val="DefaultParagraphFont"/>
    <w:link w:val="Footer"/>
    <w:uiPriority w:val="99"/>
    <w:rsid w:val="002115D9"/>
    <w:rPr>
      <w:rFonts w:eastAsiaTheme="minorHAnsi"/>
    </w:rPr>
  </w:style>
  <w:style w:type="table" w:customStyle="1" w:styleId="TableGrid1">
    <w:name w:val="Table Grid1"/>
    <w:basedOn w:val="TableNormal"/>
    <w:next w:val="TableGrid"/>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15D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115D9"/>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6052E494-903D-4DF3-BFDE-A8C7A30B21F4}"/>
</file>

<file path=customXml/itemProps2.xml><?xml version="1.0" encoding="utf-8"?>
<ds:datastoreItem xmlns:ds="http://schemas.openxmlformats.org/officeDocument/2006/customXml" ds:itemID="{5BE5F33F-29BE-4351-95F4-06BE0B5F957F}"/>
</file>

<file path=customXml/itemProps3.xml><?xml version="1.0" encoding="utf-8"?>
<ds:datastoreItem xmlns:ds="http://schemas.openxmlformats.org/officeDocument/2006/customXml" ds:itemID="{BA7BB0BD-A437-4005-BB34-23E0BEBEB1F5}"/>
</file>

<file path=docProps/app.xml><?xml version="1.0" encoding="utf-8"?>
<Properties xmlns="http://schemas.openxmlformats.org/officeDocument/2006/extended-properties" xmlns:vt="http://schemas.openxmlformats.org/officeDocument/2006/docPropsVTypes">
  <Template>Normal</Template>
  <TotalTime>8</TotalTime>
  <Pages>1</Pages>
  <Words>722</Words>
  <Characters>4118</Characters>
  <Application>Microsoft Office Word</Application>
  <DocSecurity>0</DocSecurity>
  <Lines>34</Lines>
  <Paragraphs>9</Paragraphs>
  <ScaleCrop>false</ScaleCrop>
  <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hessen</dc:creator>
  <cp:keywords/>
  <dc:description/>
  <cp:lastModifiedBy>user</cp:lastModifiedBy>
  <cp:revision>10</cp:revision>
  <dcterms:created xsi:type="dcterms:W3CDTF">2017-05-13T09:22:00Z</dcterms:created>
  <dcterms:modified xsi:type="dcterms:W3CDTF">2023-04-28T20:49:00Z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