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A15" w:rsidRPr="00107B2C" w:rsidRDefault="002E18EC" w:rsidP="00303A15">
      <w:pPr>
        <w:jc w:val="lowKashida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TS</w:t>
      </w:r>
      <w:r w:rsidRPr="002E18EC">
        <w:rPr>
          <w:rFonts w:ascii="Arial" w:hAnsi="Arial"/>
          <w:vertAlign w:val="subscript"/>
          <w:lang w:val="fr-FR"/>
        </w:rPr>
        <w:t>2</w:t>
      </w:r>
      <w:r>
        <w:rPr>
          <w:rFonts w:ascii="Arial" w:hAnsi="Arial"/>
          <w:lang w:val="fr-FR"/>
        </w:rPr>
        <w:t>-ELECTRONIQUE                                                                                 SUJET </w:t>
      </w:r>
      <w:r w:rsidR="00E65B72">
        <w:rPr>
          <w:rFonts w:ascii="Arial" w:hAnsi="Arial"/>
          <w:lang w:val="fr-FR"/>
        </w:rPr>
        <w:t>: MATHEMATIQUES</w:t>
      </w:r>
    </w:p>
    <w:p w:rsidR="00303A15" w:rsidRDefault="00303A15" w:rsidP="00303A15">
      <w:pPr>
        <w:pStyle w:val="Heading1"/>
        <w:rPr>
          <w:lang w:eastAsia="en-US"/>
        </w:rPr>
      </w:pPr>
      <w:r>
        <w:rPr>
          <w:lang w:eastAsia="en-US"/>
        </w:rPr>
        <w:t xml:space="preserve">Mathématiques </w:t>
      </w:r>
      <w:r>
        <w:rPr>
          <w:lang w:eastAsia="en-US"/>
        </w:rPr>
        <w:br/>
        <w:t xml:space="preserve">(60 H) </w:t>
      </w:r>
    </w:p>
    <w:p w:rsidR="00303A15" w:rsidRDefault="00303A15" w:rsidP="007E2899">
      <w:pPr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Ce cours de mathématiques comporte les deux modules suivants : Probabilités et statistiques.</w:t>
      </w:r>
    </w:p>
    <w:p w:rsidR="00303A15" w:rsidRDefault="00303A15" w:rsidP="00303A15">
      <w:pPr>
        <w:pStyle w:val="Heading2"/>
      </w:pPr>
      <w:r>
        <w:t>Compétences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Analyser un problème de mathématiques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Décrire et ordonner les étapes de résolution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Résoudre un problème de mathématiques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Justifier les résultats obtenus et apprécier leur portée</w:t>
      </w:r>
    </w:p>
    <w:p w:rsidR="00303A15" w:rsidRDefault="00303A15" w:rsidP="00303A15">
      <w:pPr>
        <w:pStyle w:val="Heading2"/>
        <w:rPr>
          <w:szCs w:val="28"/>
        </w:rPr>
      </w:pPr>
      <w:r>
        <w:t>Objectifs</w:t>
      </w:r>
    </w:p>
    <w:p w:rsidR="00303A15" w:rsidRDefault="00303A15" w:rsidP="00303A15">
      <w:pPr>
        <w:ind w:right="-1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L’enseignement des mathématiques doit :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Fournir les outils nécessaires pour permettre aux élèves de suivre avec profit d’autres enseignements utilisant des savoir-faire mathématiques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Contribuer au développement de la formation scientifique d’un technicien supérieur grâce à l’exploitation de toute la richesse de la démarche mathématique : analyser un problème et en présenter un modèle mathématique, mettre en œuvre d’outils mathématiques pour le résoudre, analyser la pertinence des résultats obtenus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Contribuer au développement des capacités personnelles et des capacités d’autonomie : acquisition des méthodes de travail, maîtrise des méthodes de représentation (représentation graphique, schémas, données statistiques,...), utilisation des moyens de documentation (documents, livres, revues, notices de construction,...)</w:t>
      </w:r>
    </w:p>
    <w:p w:rsidR="00303A15" w:rsidRDefault="00303A15" w:rsidP="00303A15">
      <w:pPr>
        <w:pStyle w:val="Heading2"/>
      </w:pPr>
      <w:r>
        <w:t>Evaluation</w:t>
      </w:r>
    </w:p>
    <w:p w:rsidR="00303A15" w:rsidRDefault="00303A15" w:rsidP="00303A15">
      <w:pPr>
        <w:ind w:right="-1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ab/>
        <w:t>L’étudiant doit être testé sur sa capacité à atteindre les compétences demandées lors d’un examen écrit et/ou oral. Les critères selon lesquelles les étudiants seront évalués sont :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Compréhension des notions mathématiques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Capacité à analyser et à résoudre un problème donné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Exactitude de la démarche suivie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Aptitude à suivre un raisonnement réfléchi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Argumentation de la démarche suivie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Exactitude des résultats obtenus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 xml:space="preserve">Remise en cause des résultats logiquement </w:t>
      </w:r>
      <w:proofErr w:type="gramStart"/>
      <w:r>
        <w:rPr>
          <w:rFonts w:ascii="Arial" w:hAnsi="Arial"/>
          <w:sz w:val="22"/>
          <w:szCs w:val="28"/>
          <w:lang w:val="fr-FR"/>
        </w:rPr>
        <w:t>fausses</w:t>
      </w:r>
      <w:proofErr w:type="gramEnd"/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Capacité à exécuter soigneusement des taches demandées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Capacité à appliquer des notions mathématiques dans le domaine de spécialité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Capacité à donner une réponse claire et directe à une question posée sans débordement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Clarté de la présentation</w:t>
      </w:r>
    </w:p>
    <w:p w:rsidR="00303A15" w:rsidRDefault="00303A15" w:rsidP="00303A15">
      <w:pPr>
        <w:ind w:right="-1"/>
        <w:jc w:val="lowKashida"/>
        <w:rPr>
          <w:rFonts w:ascii="Arial" w:hAnsi="Arial"/>
          <w:sz w:val="22"/>
          <w:szCs w:val="28"/>
          <w:lang w:val="fr-FR"/>
        </w:rPr>
      </w:pPr>
    </w:p>
    <w:p w:rsidR="00303A15" w:rsidRDefault="00303A15" w:rsidP="00303A15">
      <w:pPr>
        <w:ind w:right="-1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Voici quelques points caractérisant l’examen :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Les sujets doivent comprendre des exercices de mathématiques recouvrant une part très large du programme et principalement les thèmes les plus utiles pour la spécialité des étudiants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Le nombre de points affectés à chaque exercice d’une épreuve écrite doit être indiqué aux candidats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Il convient d’éviter toute difficulté théorique et toute technicité mathématique excessive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lastRenderedPageBreak/>
        <w:t>–</w:t>
      </w:r>
      <w:r>
        <w:rPr>
          <w:rFonts w:ascii="Arial" w:hAnsi="Arial"/>
          <w:sz w:val="22"/>
          <w:szCs w:val="28"/>
          <w:lang w:val="fr-FR"/>
        </w:rPr>
        <w:tab/>
        <w:t>La longueur et l’ampleur du sujet doivent permettre à un candidat moyen de traiter le sujet et de le rédiger posément dans le temps fixé de l’épreuve</w:t>
      </w:r>
    </w:p>
    <w:p w:rsidR="00303A15" w:rsidRDefault="00303A15" w:rsidP="00303A15">
      <w:pPr>
        <w:pStyle w:val="Heading2"/>
      </w:pPr>
      <w:r>
        <w:t>Contenu</w:t>
      </w:r>
    </w:p>
    <w:p w:rsidR="00303A15" w:rsidRDefault="00303A15" w:rsidP="00303A15">
      <w:pPr>
        <w:pStyle w:val="Title"/>
      </w:pPr>
      <w:r>
        <w:t>partie 1 : Probabilités et statistiques</w:t>
      </w:r>
    </w:p>
    <w:p w:rsidR="00303A15" w:rsidRDefault="00303A15" w:rsidP="00303A15">
      <w:pPr>
        <w:pStyle w:val="n"/>
      </w:pPr>
      <w:r>
        <w:t>(60 périodes)</w:t>
      </w:r>
    </w:p>
    <w:p w:rsidR="00303A15" w:rsidRDefault="00303A15" w:rsidP="00303A15">
      <w:pPr>
        <w:pStyle w:val="Heading3"/>
      </w:pPr>
      <w:r>
        <w:t>Objectifs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Déterminer le nombre d’applications possibles d’un ensemble à p éléments dans un ensemble à n éléments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Déterminer le nombre d’arrangements possibles d’un ensemble à p éléments dans un ensemble à n éléments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Déterminer le nombre de permutations possibles dans un ensemble à n éléments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Déterminer le nombre de combinaisons possibles de p éléments dans un ensemble contenant n éléments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Caractériser : une loi de probabilité, une densité de probabilité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Choisir un univers de résultats équiprobables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Calculer la probabilité d’un événement donné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Caractériser les événements indépendants et calculer leurs probabilités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Définir l’incompatibilité des événements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Définir les paramètres caractéristiques d’une variable aléatoire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 xml:space="preserve">Déterminer les paramètres caractéristiques des lois : </w:t>
      </w:r>
      <w:proofErr w:type="spellStart"/>
      <w:r>
        <w:rPr>
          <w:rFonts w:ascii="Arial" w:hAnsi="Arial"/>
          <w:sz w:val="22"/>
          <w:szCs w:val="28"/>
          <w:lang w:val="fr-FR"/>
        </w:rPr>
        <w:t>Bernouilli</w:t>
      </w:r>
      <w:proofErr w:type="spellEnd"/>
      <w:r>
        <w:rPr>
          <w:rFonts w:ascii="Arial" w:hAnsi="Arial"/>
          <w:sz w:val="22"/>
          <w:szCs w:val="28"/>
          <w:lang w:val="fr-FR"/>
        </w:rPr>
        <w:t>, binomiale, uniforme, géométrique, hypergéométrique, de Poisson, exponentielle, normale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Donner les conditions d’approximation d’une loi par une autre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Définir les statistiques relatives à une variable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Déterminer les valeurs caractéristiques d’une variable statistique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Calculer et représenter les valeurs caractéristiques relatives à un couple de variables statistiques.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Utiliser les méthodes d’ajustement dans la représentation graphique des données statistiques.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Définir la distribution des moyennes et celle des fréquences d’échantillons.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Définir et étudier l’estimation ponctuelle et celle par intervalle de confiance.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Comparer une moyenne et une norme relativement à coefficient de confiance donné.</w:t>
      </w:r>
    </w:p>
    <w:p w:rsidR="00303A15" w:rsidRDefault="00303A15" w:rsidP="00303A15">
      <w:pPr>
        <w:ind w:left="284" w:right="-1" w:hanging="284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–</w:t>
      </w:r>
      <w:r>
        <w:rPr>
          <w:rFonts w:ascii="Arial" w:hAnsi="Arial"/>
          <w:sz w:val="22"/>
          <w:szCs w:val="28"/>
          <w:lang w:val="fr-FR"/>
        </w:rPr>
        <w:tab/>
        <w:t>Comparer une fréquence et une norme relativement à coefficient de confiance donné.</w:t>
      </w:r>
    </w:p>
    <w:p w:rsidR="00303A15" w:rsidRDefault="00303A15" w:rsidP="00303A15">
      <w:pPr>
        <w:pStyle w:val="Heading3"/>
      </w:pPr>
      <w:r>
        <w:t>Contenu</w:t>
      </w:r>
    </w:p>
    <w:p w:rsidR="00303A15" w:rsidRDefault="00303A15" w:rsidP="00303A15">
      <w:pPr>
        <w:pStyle w:val="Title"/>
      </w:pPr>
      <w:r>
        <w:rPr>
          <w:u w:val="single"/>
        </w:rPr>
        <w:t>chapitre 1</w:t>
      </w:r>
      <w:r>
        <w:rPr>
          <w:u w:val="single"/>
        </w:rPr>
        <w:br/>
      </w:r>
      <w:r>
        <w:t>Probabilités - Analyse combinatoire</w:t>
      </w:r>
    </w:p>
    <w:p w:rsidR="00303A15" w:rsidRDefault="00303A15" w:rsidP="00303A15">
      <w:pPr>
        <w:pStyle w:val="n"/>
      </w:pPr>
      <w:r>
        <w:t>(8 périodes)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1.1.1</w:t>
      </w:r>
      <w:r>
        <w:rPr>
          <w:rFonts w:ascii="Arial" w:hAnsi="Arial"/>
          <w:sz w:val="22"/>
          <w:szCs w:val="28"/>
          <w:lang w:val="fr-FR"/>
        </w:rPr>
        <w:tab/>
        <w:t>Ensembles et applications (k-listes) : exemples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1.1.2</w:t>
      </w:r>
      <w:r>
        <w:rPr>
          <w:rFonts w:ascii="Arial" w:hAnsi="Arial"/>
          <w:sz w:val="22"/>
          <w:szCs w:val="28"/>
          <w:lang w:val="fr-FR"/>
        </w:rPr>
        <w:tab/>
        <w:t>Arrangements (nombre d’injections)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1.1.3</w:t>
      </w:r>
      <w:r>
        <w:rPr>
          <w:rFonts w:ascii="Arial" w:hAnsi="Arial"/>
          <w:sz w:val="22"/>
          <w:szCs w:val="28"/>
          <w:lang w:val="fr-FR"/>
        </w:rPr>
        <w:tab/>
        <w:t>Permutations : exemples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1.1.4</w:t>
      </w:r>
      <w:r>
        <w:rPr>
          <w:rFonts w:ascii="Arial" w:hAnsi="Arial"/>
          <w:sz w:val="22"/>
          <w:szCs w:val="28"/>
          <w:lang w:val="fr-FR"/>
        </w:rPr>
        <w:tab/>
        <w:t>Parties d’un ensemble et combinaisons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1.1.4</w:t>
      </w:r>
      <w:r>
        <w:rPr>
          <w:rFonts w:ascii="Arial" w:hAnsi="Arial"/>
          <w:sz w:val="22"/>
          <w:szCs w:val="28"/>
          <w:lang w:val="fr-FR"/>
        </w:rPr>
        <w:tab/>
        <w:t>Formules des combinaisons : exemples</w:t>
      </w:r>
    </w:p>
    <w:p w:rsidR="00303A15" w:rsidRDefault="00303A15" w:rsidP="00303A15">
      <w:pPr>
        <w:pStyle w:val="Title"/>
      </w:pPr>
      <w:r>
        <w:rPr>
          <w:u w:val="single"/>
        </w:rPr>
        <w:t>chapitre 2</w:t>
      </w:r>
      <w:r>
        <w:rPr>
          <w:u w:val="single"/>
        </w:rPr>
        <w:br/>
      </w:r>
      <w:r>
        <w:t>Probabilité</w:t>
      </w:r>
    </w:p>
    <w:p w:rsidR="00303A15" w:rsidRDefault="00303A15" w:rsidP="00303A15">
      <w:pPr>
        <w:pStyle w:val="n"/>
      </w:pPr>
      <w:r>
        <w:lastRenderedPageBreak/>
        <w:t>(4 périodes)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1.2.1</w:t>
      </w:r>
      <w:r>
        <w:rPr>
          <w:rFonts w:ascii="Arial" w:hAnsi="Arial"/>
          <w:sz w:val="22"/>
          <w:szCs w:val="28"/>
          <w:lang w:val="fr-FR"/>
        </w:rPr>
        <w:tab/>
        <w:t>Evénements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1.2.2</w:t>
      </w:r>
      <w:r>
        <w:rPr>
          <w:rFonts w:ascii="Arial" w:hAnsi="Arial"/>
          <w:sz w:val="22"/>
          <w:szCs w:val="28"/>
          <w:lang w:val="fr-FR"/>
        </w:rPr>
        <w:tab/>
        <w:t>Univers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1.2.3</w:t>
      </w:r>
      <w:r>
        <w:rPr>
          <w:rFonts w:ascii="Arial" w:hAnsi="Arial"/>
          <w:sz w:val="22"/>
          <w:szCs w:val="28"/>
          <w:lang w:val="fr-FR"/>
        </w:rPr>
        <w:tab/>
        <w:t>Tribu sur univers : exemples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1.2.4</w:t>
      </w:r>
      <w:r>
        <w:rPr>
          <w:rFonts w:ascii="Arial" w:hAnsi="Arial"/>
          <w:sz w:val="22"/>
          <w:szCs w:val="28"/>
          <w:lang w:val="fr-FR"/>
        </w:rPr>
        <w:tab/>
        <w:t>Probabilité et ses propriétés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1.2.5</w:t>
      </w:r>
      <w:r>
        <w:rPr>
          <w:rFonts w:ascii="Arial" w:hAnsi="Arial"/>
          <w:sz w:val="22"/>
          <w:szCs w:val="28"/>
          <w:lang w:val="fr-FR"/>
        </w:rPr>
        <w:tab/>
        <w:t>Espaces probabilités : exemples</w:t>
      </w:r>
    </w:p>
    <w:p w:rsidR="00303A15" w:rsidRDefault="00303A15" w:rsidP="00303A15">
      <w:pPr>
        <w:pStyle w:val="Title"/>
      </w:pPr>
      <w:r>
        <w:rPr>
          <w:u w:val="single"/>
        </w:rPr>
        <w:t>chapitre 3</w:t>
      </w:r>
      <w:r>
        <w:rPr>
          <w:u w:val="single"/>
        </w:rPr>
        <w:br/>
      </w:r>
      <w:r>
        <w:t>Evénements indépendants, produit d’espaces probabilités</w:t>
      </w:r>
    </w:p>
    <w:p w:rsidR="00303A15" w:rsidRDefault="00303A15" w:rsidP="00303A15">
      <w:pPr>
        <w:pStyle w:val="n"/>
      </w:pPr>
      <w:r>
        <w:t>(4 périodes)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1.3.1</w:t>
      </w:r>
      <w:r>
        <w:rPr>
          <w:rFonts w:ascii="Arial" w:hAnsi="Arial"/>
          <w:sz w:val="22"/>
          <w:szCs w:val="28"/>
          <w:lang w:val="fr-FR"/>
        </w:rPr>
        <w:tab/>
        <w:t>Evénements indépendants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1.3.2</w:t>
      </w:r>
      <w:r>
        <w:rPr>
          <w:rFonts w:ascii="Arial" w:hAnsi="Arial"/>
          <w:sz w:val="22"/>
          <w:szCs w:val="28"/>
          <w:lang w:val="fr-FR"/>
        </w:rPr>
        <w:tab/>
        <w:t>Evénements incompatibles : exemples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1.3.3</w:t>
      </w:r>
      <w:r>
        <w:rPr>
          <w:rFonts w:ascii="Arial" w:hAnsi="Arial"/>
          <w:sz w:val="22"/>
          <w:szCs w:val="28"/>
          <w:lang w:val="fr-FR"/>
        </w:rPr>
        <w:tab/>
        <w:t>Epreuves indépendantes : produit d’espaces probabilités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1.3.4</w:t>
      </w:r>
      <w:r>
        <w:rPr>
          <w:rFonts w:ascii="Arial" w:hAnsi="Arial"/>
          <w:sz w:val="22"/>
          <w:szCs w:val="28"/>
          <w:lang w:val="fr-FR"/>
        </w:rPr>
        <w:tab/>
        <w:t xml:space="preserve">Epreuves de </w:t>
      </w:r>
      <w:proofErr w:type="spellStart"/>
      <w:r>
        <w:rPr>
          <w:rFonts w:ascii="Arial" w:hAnsi="Arial"/>
          <w:sz w:val="22"/>
          <w:szCs w:val="28"/>
          <w:lang w:val="fr-FR"/>
        </w:rPr>
        <w:t>Bernouilli</w:t>
      </w:r>
      <w:proofErr w:type="spellEnd"/>
      <w:r>
        <w:rPr>
          <w:rFonts w:ascii="Arial" w:hAnsi="Arial"/>
          <w:sz w:val="22"/>
          <w:szCs w:val="28"/>
          <w:lang w:val="fr-FR"/>
        </w:rPr>
        <w:t xml:space="preserve"> indépendantes : exemples</w:t>
      </w:r>
    </w:p>
    <w:p w:rsidR="00303A15" w:rsidRDefault="00303A15" w:rsidP="00303A15">
      <w:pPr>
        <w:pStyle w:val="Title"/>
      </w:pPr>
      <w:r>
        <w:rPr>
          <w:u w:val="single"/>
        </w:rPr>
        <w:t>chapitre 4</w:t>
      </w:r>
      <w:r>
        <w:rPr>
          <w:u w:val="single"/>
        </w:rPr>
        <w:br/>
      </w:r>
      <w:r>
        <w:t>Variables aléatoires discrètes V.A.D.- Lois usuelles</w:t>
      </w:r>
    </w:p>
    <w:p w:rsidR="00303A15" w:rsidRDefault="00303A15" w:rsidP="00303A15">
      <w:pPr>
        <w:pStyle w:val="n"/>
      </w:pPr>
      <w:r>
        <w:t>(10 périodes)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1.4.1</w:t>
      </w:r>
      <w:r>
        <w:rPr>
          <w:rFonts w:ascii="Arial" w:hAnsi="Arial"/>
          <w:sz w:val="22"/>
          <w:szCs w:val="28"/>
          <w:lang w:val="fr-FR"/>
        </w:rPr>
        <w:tab/>
        <w:t>Définition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1.4.2</w:t>
      </w:r>
      <w:r>
        <w:rPr>
          <w:rFonts w:ascii="Arial" w:hAnsi="Arial"/>
          <w:sz w:val="22"/>
          <w:szCs w:val="28"/>
          <w:lang w:val="fr-FR"/>
        </w:rPr>
        <w:tab/>
        <w:t>Loi discrète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1.4.3</w:t>
      </w:r>
      <w:r>
        <w:rPr>
          <w:rFonts w:ascii="Arial" w:hAnsi="Arial"/>
          <w:sz w:val="22"/>
          <w:szCs w:val="28"/>
          <w:lang w:val="fr-FR"/>
        </w:rPr>
        <w:tab/>
        <w:t>Fonction de répartition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1.4.4</w:t>
      </w:r>
      <w:r>
        <w:rPr>
          <w:rFonts w:ascii="Arial" w:hAnsi="Arial"/>
          <w:sz w:val="22"/>
          <w:szCs w:val="28"/>
          <w:lang w:val="fr-FR"/>
        </w:rPr>
        <w:tab/>
        <w:t>Mode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1.4.5</w:t>
      </w:r>
      <w:r>
        <w:rPr>
          <w:rFonts w:ascii="Arial" w:hAnsi="Arial"/>
          <w:sz w:val="22"/>
          <w:szCs w:val="28"/>
          <w:lang w:val="fr-FR"/>
        </w:rPr>
        <w:tab/>
        <w:t>Médiane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1.4.6</w:t>
      </w:r>
      <w:r>
        <w:rPr>
          <w:rFonts w:ascii="Arial" w:hAnsi="Arial"/>
          <w:sz w:val="22"/>
          <w:szCs w:val="28"/>
          <w:lang w:val="fr-FR"/>
        </w:rPr>
        <w:tab/>
        <w:t>Espérance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1.4.7</w:t>
      </w:r>
      <w:r>
        <w:rPr>
          <w:rFonts w:ascii="Arial" w:hAnsi="Arial"/>
          <w:sz w:val="22"/>
          <w:szCs w:val="28"/>
          <w:lang w:val="fr-FR"/>
        </w:rPr>
        <w:tab/>
        <w:t>Variance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1.4.8</w:t>
      </w:r>
      <w:r>
        <w:rPr>
          <w:rFonts w:ascii="Arial" w:hAnsi="Arial"/>
          <w:sz w:val="22"/>
          <w:szCs w:val="28"/>
          <w:lang w:val="fr-FR"/>
        </w:rPr>
        <w:tab/>
        <w:t>Ecart-type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1.4.9</w:t>
      </w:r>
      <w:r>
        <w:rPr>
          <w:rFonts w:ascii="Arial" w:hAnsi="Arial"/>
          <w:sz w:val="22"/>
          <w:szCs w:val="28"/>
          <w:lang w:val="fr-FR"/>
        </w:rPr>
        <w:tab/>
        <w:t>Covariance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1.4.10</w:t>
      </w:r>
      <w:r>
        <w:rPr>
          <w:rFonts w:ascii="Arial" w:hAnsi="Arial"/>
          <w:sz w:val="22"/>
          <w:szCs w:val="28"/>
          <w:lang w:val="fr-FR"/>
        </w:rPr>
        <w:tab/>
        <w:t>Coefficient de corrélation linéaire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1.4.11</w:t>
      </w:r>
      <w:r>
        <w:rPr>
          <w:rFonts w:ascii="Arial" w:hAnsi="Arial"/>
          <w:sz w:val="22"/>
          <w:szCs w:val="28"/>
          <w:lang w:val="fr-FR"/>
        </w:rPr>
        <w:tab/>
        <w:t>Lois usuelles : uniforme, binomiale, géométrique, hypergéométrique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1.4.12</w:t>
      </w:r>
      <w:r>
        <w:rPr>
          <w:rFonts w:ascii="Arial" w:hAnsi="Arial"/>
          <w:sz w:val="22"/>
          <w:szCs w:val="28"/>
          <w:lang w:val="fr-FR"/>
        </w:rPr>
        <w:tab/>
        <w:t>Poisson : exemples types</w:t>
      </w:r>
    </w:p>
    <w:p w:rsidR="00303A15" w:rsidRDefault="00303A15" w:rsidP="00303A15">
      <w:pPr>
        <w:pStyle w:val="Title"/>
      </w:pPr>
      <w:r>
        <w:rPr>
          <w:u w:val="single"/>
        </w:rPr>
        <w:t>chapitre 5</w:t>
      </w:r>
      <w:r>
        <w:rPr>
          <w:u w:val="single"/>
        </w:rPr>
        <w:br/>
      </w:r>
      <w:r>
        <w:t xml:space="preserve">Variables aléatoires absolument continues V.A.A.C. </w:t>
      </w:r>
      <w:r>
        <w:br/>
        <w:t>Lois usuelles</w:t>
      </w:r>
    </w:p>
    <w:p w:rsidR="00303A15" w:rsidRDefault="00303A15" w:rsidP="00303A15">
      <w:pPr>
        <w:pStyle w:val="n"/>
      </w:pPr>
      <w:r>
        <w:t>(10 périodes)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1.5.1</w:t>
      </w:r>
      <w:r>
        <w:rPr>
          <w:rFonts w:ascii="Arial" w:hAnsi="Arial"/>
          <w:sz w:val="22"/>
          <w:szCs w:val="28"/>
          <w:lang w:val="fr-FR"/>
        </w:rPr>
        <w:tab/>
        <w:t>Définition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1.5.2</w:t>
      </w:r>
      <w:r>
        <w:rPr>
          <w:rFonts w:ascii="Arial" w:hAnsi="Arial"/>
          <w:sz w:val="22"/>
          <w:szCs w:val="28"/>
          <w:lang w:val="fr-FR"/>
        </w:rPr>
        <w:tab/>
        <w:t>Densité de probabilité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1.5.3</w:t>
      </w:r>
      <w:r>
        <w:rPr>
          <w:rFonts w:ascii="Arial" w:hAnsi="Arial"/>
          <w:sz w:val="22"/>
          <w:szCs w:val="28"/>
          <w:lang w:val="fr-FR"/>
        </w:rPr>
        <w:tab/>
        <w:t>Fonction de répartition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1.5.4</w:t>
      </w:r>
      <w:r>
        <w:rPr>
          <w:rFonts w:ascii="Arial" w:hAnsi="Arial"/>
          <w:sz w:val="22"/>
          <w:szCs w:val="28"/>
          <w:lang w:val="fr-FR"/>
        </w:rPr>
        <w:tab/>
        <w:t>Mode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1.5.5</w:t>
      </w:r>
      <w:r>
        <w:rPr>
          <w:rFonts w:ascii="Arial" w:hAnsi="Arial"/>
          <w:sz w:val="22"/>
          <w:szCs w:val="28"/>
          <w:lang w:val="fr-FR"/>
        </w:rPr>
        <w:tab/>
        <w:t>Médiane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1.5.6</w:t>
      </w:r>
      <w:r>
        <w:rPr>
          <w:rFonts w:ascii="Arial" w:hAnsi="Arial"/>
          <w:sz w:val="22"/>
          <w:szCs w:val="28"/>
          <w:lang w:val="fr-FR"/>
        </w:rPr>
        <w:tab/>
        <w:t>Espérance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1.5.7</w:t>
      </w:r>
      <w:r>
        <w:rPr>
          <w:rFonts w:ascii="Arial" w:hAnsi="Arial"/>
          <w:sz w:val="22"/>
          <w:szCs w:val="28"/>
          <w:lang w:val="fr-FR"/>
        </w:rPr>
        <w:tab/>
        <w:t>Variance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1.5.8</w:t>
      </w:r>
      <w:r>
        <w:rPr>
          <w:rFonts w:ascii="Arial" w:hAnsi="Arial"/>
          <w:sz w:val="22"/>
          <w:szCs w:val="28"/>
          <w:lang w:val="fr-FR"/>
        </w:rPr>
        <w:tab/>
        <w:t>Ecart-type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1.5.9</w:t>
      </w:r>
      <w:r>
        <w:rPr>
          <w:rFonts w:ascii="Arial" w:hAnsi="Arial"/>
          <w:sz w:val="22"/>
          <w:szCs w:val="28"/>
          <w:lang w:val="fr-FR"/>
        </w:rPr>
        <w:tab/>
        <w:t>Covariance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1.5.10</w:t>
      </w:r>
      <w:r>
        <w:rPr>
          <w:rFonts w:ascii="Arial" w:hAnsi="Arial"/>
          <w:sz w:val="22"/>
          <w:szCs w:val="28"/>
          <w:lang w:val="fr-FR"/>
        </w:rPr>
        <w:tab/>
        <w:t>Coefficient de corrélation linéaire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1.5.11</w:t>
      </w:r>
      <w:r>
        <w:rPr>
          <w:rFonts w:ascii="Arial" w:hAnsi="Arial"/>
          <w:sz w:val="22"/>
          <w:szCs w:val="28"/>
          <w:lang w:val="fr-FR"/>
        </w:rPr>
        <w:tab/>
        <w:t xml:space="preserve">Lois continues classiques: uniforme, exponentielle, normale (quelconque et centrée réduite): </w:t>
      </w:r>
      <w:r>
        <w:rPr>
          <w:rFonts w:ascii="Arial" w:hAnsi="Arial"/>
          <w:sz w:val="22"/>
          <w:szCs w:val="28"/>
          <w:lang w:val="fr-FR"/>
        </w:rPr>
        <w:tab/>
        <w:t>exemples types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lastRenderedPageBreak/>
        <w:t>1.5.12</w:t>
      </w:r>
      <w:r>
        <w:rPr>
          <w:rFonts w:ascii="Arial" w:hAnsi="Arial"/>
          <w:sz w:val="22"/>
          <w:szCs w:val="28"/>
          <w:lang w:val="fr-FR"/>
        </w:rPr>
        <w:tab/>
        <w:t>Approximation des lois</w:t>
      </w:r>
    </w:p>
    <w:p w:rsidR="00303A15" w:rsidRDefault="00303A15" w:rsidP="00303A15">
      <w:pPr>
        <w:pStyle w:val="Title"/>
      </w:pPr>
      <w:r>
        <w:rPr>
          <w:u w:val="single"/>
        </w:rPr>
        <w:t>chapitre 6</w:t>
      </w:r>
      <w:r>
        <w:rPr>
          <w:u w:val="single"/>
        </w:rPr>
        <w:br/>
      </w:r>
      <w:r>
        <w:t>Statistiques relatives à une variable</w:t>
      </w:r>
    </w:p>
    <w:p w:rsidR="00303A15" w:rsidRDefault="00303A15" w:rsidP="00303A15">
      <w:pPr>
        <w:pStyle w:val="n"/>
      </w:pPr>
      <w:r>
        <w:t>(6 périodes)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1.6.1</w:t>
      </w:r>
      <w:r>
        <w:rPr>
          <w:rFonts w:ascii="Arial" w:hAnsi="Arial"/>
          <w:sz w:val="22"/>
          <w:szCs w:val="28"/>
          <w:lang w:val="fr-FR"/>
        </w:rPr>
        <w:tab/>
        <w:t>Population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1.6.2</w:t>
      </w:r>
      <w:r>
        <w:rPr>
          <w:rFonts w:ascii="Arial" w:hAnsi="Arial"/>
          <w:sz w:val="22"/>
          <w:szCs w:val="28"/>
          <w:lang w:val="fr-FR"/>
        </w:rPr>
        <w:tab/>
        <w:t>Echantillon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1.6.3</w:t>
      </w:r>
      <w:r>
        <w:rPr>
          <w:rFonts w:ascii="Arial" w:hAnsi="Arial"/>
          <w:sz w:val="22"/>
          <w:szCs w:val="28"/>
          <w:lang w:val="fr-FR"/>
        </w:rPr>
        <w:tab/>
        <w:t>Variable statistique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1.6.4</w:t>
      </w:r>
      <w:r>
        <w:rPr>
          <w:rFonts w:ascii="Arial" w:hAnsi="Arial"/>
          <w:sz w:val="22"/>
          <w:szCs w:val="28"/>
          <w:lang w:val="fr-FR"/>
        </w:rPr>
        <w:tab/>
        <w:t>Effectif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1.6.5</w:t>
      </w:r>
      <w:r>
        <w:rPr>
          <w:rFonts w:ascii="Arial" w:hAnsi="Arial"/>
          <w:sz w:val="22"/>
          <w:szCs w:val="28"/>
          <w:lang w:val="fr-FR"/>
        </w:rPr>
        <w:tab/>
        <w:t>Fréquence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1.6.6</w:t>
      </w:r>
      <w:r>
        <w:rPr>
          <w:rFonts w:ascii="Arial" w:hAnsi="Arial"/>
          <w:sz w:val="22"/>
          <w:szCs w:val="28"/>
          <w:lang w:val="fr-FR"/>
        </w:rPr>
        <w:tab/>
        <w:t>Fonction cumulative (cas: discret et continu): exemples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1.6.7</w:t>
      </w:r>
      <w:r>
        <w:rPr>
          <w:rFonts w:ascii="Arial" w:hAnsi="Arial"/>
          <w:sz w:val="22"/>
          <w:szCs w:val="28"/>
          <w:lang w:val="fr-FR"/>
        </w:rPr>
        <w:tab/>
        <w:t>Valeurs caractéristiques : moyenne, mode, médiane, variance, écart-type : exemples</w:t>
      </w:r>
    </w:p>
    <w:p w:rsidR="00303A15" w:rsidRDefault="00303A15" w:rsidP="00303A15">
      <w:pPr>
        <w:ind w:left="284" w:right="-1" w:hanging="284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1.6.8</w:t>
      </w:r>
      <w:r>
        <w:rPr>
          <w:rFonts w:ascii="Arial" w:hAnsi="Arial"/>
          <w:sz w:val="22"/>
          <w:szCs w:val="28"/>
          <w:lang w:val="fr-FR"/>
        </w:rPr>
        <w:tab/>
        <w:t>Graphiques (cas: discret et continu)</w:t>
      </w:r>
    </w:p>
    <w:p w:rsidR="00303A15" w:rsidRDefault="00303A15" w:rsidP="00303A15">
      <w:pPr>
        <w:pStyle w:val="Title"/>
      </w:pPr>
      <w:r>
        <w:rPr>
          <w:u w:val="single"/>
        </w:rPr>
        <w:t>chapitre 7</w:t>
      </w:r>
      <w:r>
        <w:rPr>
          <w:u w:val="single"/>
        </w:rPr>
        <w:br/>
      </w:r>
      <w:r>
        <w:t>Statistiques relatives à un couple de variables aléatoires</w:t>
      </w:r>
    </w:p>
    <w:p w:rsidR="00303A15" w:rsidRDefault="00303A15" w:rsidP="00303A15">
      <w:pPr>
        <w:pStyle w:val="n"/>
      </w:pPr>
      <w:r>
        <w:t>(6 périodes)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1.7.1</w:t>
      </w:r>
      <w:r>
        <w:rPr>
          <w:rFonts w:ascii="Arial" w:hAnsi="Arial"/>
          <w:sz w:val="22"/>
          <w:szCs w:val="28"/>
          <w:lang w:val="fr-FR"/>
        </w:rPr>
        <w:tab/>
        <w:t>Représentation</w:t>
      </w:r>
    </w:p>
    <w:p w:rsidR="00303A15" w:rsidRDefault="00303A15" w:rsidP="00303A15">
      <w:pPr>
        <w:ind w:left="567" w:right="-1" w:hanging="567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1.7.2</w:t>
      </w:r>
      <w:r>
        <w:rPr>
          <w:rFonts w:ascii="Arial" w:hAnsi="Arial"/>
          <w:sz w:val="22"/>
          <w:szCs w:val="28"/>
          <w:lang w:val="fr-FR"/>
        </w:rPr>
        <w:tab/>
        <w:t>Tableaux de calcul des valeurs caractéristiques : exemples</w:t>
      </w:r>
    </w:p>
    <w:p w:rsidR="00303A15" w:rsidRDefault="00303A15" w:rsidP="00303A15">
      <w:pPr>
        <w:ind w:left="567" w:right="-1" w:hanging="567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1.7.3</w:t>
      </w:r>
      <w:r>
        <w:rPr>
          <w:rFonts w:ascii="Arial" w:hAnsi="Arial"/>
          <w:sz w:val="22"/>
          <w:szCs w:val="28"/>
          <w:lang w:val="fr-FR"/>
        </w:rPr>
        <w:tab/>
        <w:t>Méthodes d’ajustement linéaires et non-linéaires (moyennes échelonnées, moyennes mobiles, Meyer, moindres carrés)</w:t>
      </w:r>
    </w:p>
    <w:p w:rsidR="00303A15" w:rsidRDefault="00303A15" w:rsidP="00303A15">
      <w:pPr>
        <w:pStyle w:val="Title"/>
      </w:pPr>
      <w:r>
        <w:rPr>
          <w:u w:val="single"/>
        </w:rPr>
        <w:t>chapitre 8</w:t>
      </w:r>
      <w:r>
        <w:rPr>
          <w:u w:val="single"/>
        </w:rPr>
        <w:br/>
      </w:r>
      <w:r>
        <w:t>Echantillonnage et estimation</w:t>
      </w:r>
    </w:p>
    <w:p w:rsidR="00303A15" w:rsidRDefault="00303A15" w:rsidP="00303A15">
      <w:pPr>
        <w:pStyle w:val="n"/>
      </w:pPr>
      <w:r>
        <w:t>(6 périodes)</w:t>
      </w:r>
    </w:p>
    <w:p w:rsidR="00303A15" w:rsidRDefault="00303A15" w:rsidP="00303A15">
      <w:pPr>
        <w:ind w:left="567" w:right="-1" w:hanging="567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1.8.1</w:t>
      </w:r>
      <w:r>
        <w:rPr>
          <w:rFonts w:ascii="Arial" w:hAnsi="Arial"/>
          <w:sz w:val="22"/>
          <w:szCs w:val="28"/>
          <w:lang w:val="fr-FR"/>
        </w:rPr>
        <w:tab/>
        <w:t>Echantillonnage : définition, distribution des moyennes et des fréquences d’échantillons : exemples</w:t>
      </w:r>
    </w:p>
    <w:p w:rsidR="00303A15" w:rsidRDefault="00303A15" w:rsidP="00303A15">
      <w:pPr>
        <w:ind w:left="567" w:right="-1" w:hanging="567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1.8.2</w:t>
      </w:r>
      <w:r>
        <w:rPr>
          <w:rFonts w:ascii="Arial" w:hAnsi="Arial"/>
          <w:sz w:val="22"/>
          <w:szCs w:val="28"/>
          <w:lang w:val="fr-FR"/>
        </w:rPr>
        <w:tab/>
        <w:t>Estimations : ponctuelle, par intervalle de confiance : exemples</w:t>
      </w:r>
    </w:p>
    <w:p w:rsidR="00303A15" w:rsidRDefault="00303A15" w:rsidP="00303A15">
      <w:pPr>
        <w:pStyle w:val="Title"/>
      </w:pPr>
      <w:r>
        <w:rPr>
          <w:u w:val="single"/>
        </w:rPr>
        <w:t>chapitre 9</w:t>
      </w:r>
      <w:r>
        <w:rPr>
          <w:u w:val="single"/>
        </w:rPr>
        <w:br/>
      </w:r>
      <w:r>
        <w:t>Tests d’hypothèses-comparaison</w:t>
      </w:r>
    </w:p>
    <w:p w:rsidR="00303A15" w:rsidRDefault="00303A15" w:rsidP="00303A15">
      <w:pPr>
        <w:pStyle w:val="n"/>
      </w:pPr>
      <w:r>
        <w:t>(6 périodes)</w:t>
      </w:r>
    </w:p>
    <w:p w:rsidR="00303A15" w:rsidRDefault="00303A15" w:rsidP="00303A15">
      <w:pPr>
        <w:ind w:left="567" w:right="-1" w:hanging="567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1.9.1</w:t>
      </w:r>
      <w:r>
        <w:rPr>
          <w:rFonts w:ascii="Arial" w:hAnsi="Arial"/>
          <w:sz w:val="22"/>
          <w:szCs w:val="28"/>
          <w:lang w:val="fr-FR"/>
        </w:rPr>
        <w:tab/>
        <w:t>Hypothèses nulle et alternative, erreurs de première et seconde espèce: exemples</w:t>
      </w:r>
    </w:p>
    <w:p w:rsidR="00303A15" w:rsidRDefault="00303A15" w:rsidP="00303A15">
      <w:pPr>
        <w:ind w:left="567" w:right="-1" w:hanging="567"/>
        <w:jc w:val="lowKashida"/>
        <w:rPr>
          <w:rFonts w:ascii="Arial" w:hAnsi="Arial"/>
          <w:sz w:val="22"/>
          <w:szCs w:val="28"/>
          <w:lang w:val="fr-FR"/>
        </w:rPr>
      </w:pPr>
      <w:r>
        <w:rPr>
          <w:rFonts w:ascii="Arial" w:hAnsi="Arial"/>
          <w:sz w:val="22"/>
          <w:szCs w:val="28"/>
          <w:lang w:val="fr-FR"/>
        </w:rPr>
        <w:t>1.9.2</w:t>
      </w:r>
      <w:r>
        <w:rPr>
          <w:rFonts w:ascii="Arial" w:hAnsi="Arial"/>
          <w:sz w:val="22"/>
          <w:szCs w:val="28"/>
          <w:lang w:val="fr-FR"/>
        </w:rPr>
        <w:tab/>
        <w:t>Comparaisons: d’une moyenne à une norme, d’une fréquence à une norme: exemples</w:t>
      </w:r>
    </w:p>
    <w:p w:rsidR="00303A15" w:rsidRDefault="00303A15" w:rsidP="00303A15">
      <w:pPr>
        <w:rPr>
          <w:rFonts w:ascii="Arial" w:hAnsi="Arial"/>
          <w:sz w:val="22"/>
          <w:szCs w:val="28"/>
          <w:lang w:val="fr-FR"/>
        </w:rPr>
      </w:pPr>
    </w:p>
    <w:p w:rsidR="005104FB" w:rsidRPr="00303A15" w:rsidRDefault="005104FB">
      <w:pPr>
        <w:rPr>
          <w:lang w:val="fr-FR"/>
        </w:rPr>
      </w:pPr>
    </w:p>
    <w:sectPr w:rsidR="005104FB" w:rsidRPr="00303A15" w:rsidSect="00510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3A15"/>
    <w:rsid w:val="00235FB6"/>
    <w:rsid w:val="002E18EC"/>
    <w:rsid w:val="00303A15"/>
    <w:rsid w:val="005104FB"/>
    <w:rsid w:val="007E2899"/>
    <w:rsid w:val="00882E90"/>
    <w:rsid w:val="00AF4219"/>
    <w:rsid w:val="00E65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A15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303A15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303A15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303A15"/>
    <w:pPr>
      <w:keepNext/>
      <w:spacing w:before="120"/>
      <w:jc w:val="lowKashida"/>
      <w:outlineLvl w:val="2"/>
    </w:pPr>
    <w:rPr>
      <w:rFonts w:ascii="Arial" w:hAnsi="Arial"/>
      <w:b/>
      <w:bCs/>
      <w:sz w:val="24"/>
      <w:szCs w:val="33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3A15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303A15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basedOn w:val="DefaultParagraphFont"/>
    <w:link w:val="Heading3"/>
    <w:rsid w:val="00303A15"/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303A15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303A15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customStyle="1" w:styleId="n">
    <w:name w:val="n"/>
    <w:basedOn w:val="Heading3"/>
    <w:rsid w:val="00303A15"/>
    <w:pPr>
      <w:spacing w:before="0"/>
      <w:jc w:val="right"/>
    </w:pPr>
    <w:rPr>
      <w:rFonts w:ascii="Arial Rounded MT Bold" w:hAnsi="Arial Rounded MT Bold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1034</Words>
  <Characters>5898</Characters>
  <Application>Microsoft Office Word</Application>
  <DocSecurity>0</DocSecurity>
  <Lines>49</Lines>
  <Paragraphs>13</Paragraphs>
  <ScaleCrop>false</ScaleCrop>
  <Company>Toshiba</Company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6</cp:revision>
  <dcterms:created xsi:type="dcterms:W3CDTF">2012-09-13T09:56:00Z</dcterms:created>
  <dcterms:modified xsi:type="dcterms:W3CDTF">2012-09-14T06:24:00Z</dcterms:modified>
</cp:coreProperties>
</file>