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1D" w:rsidRDefault="0097771D" w:rsidP="00FE5F64">
      <w:pPr>
        <w:pStyle w:val="Heading1"/>
      </w:pPr>
      <w:r>
        <w:t xml:space="preserve">GESTION et FINANCE </w:t>
      </w:r>
      <w:r>
        <w:br/>
        <w:t xml:space="preserve">(30 </w:t>
      </w:r>
      <w:r w:rsidR="00FE5F64">
        <w:t>H</w:t>
      </w:r>
      <w:r>
        <w:t>)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الأول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مقدّمة عامّة عن الإدارة والتنظيم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        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علم الإدارة الحديثة (المانجمنت)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تعريفه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مضمونه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1-3  أسسه ومبادئه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 : القيادة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1-4-2: العوامل التي تقوم عليها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1-4-3: أهم المهامّ التي يقوم بها المدير (القائد) في الإدارة الحديثة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1-4-4: الشروط الواجب توفرها في المدير الكفؤ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الثاني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التنظيم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التنظيم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مباديء التنظيم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النظريّات الكلاسيكيّة للتنظيم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2-3-1: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2-3-2: النموذج الأوّل (النظريّة البيروقراطيّة) – ماكس فايبر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2-3-3: النموذج الثاني (نظريّة الإدارة العلميّة) – فريدريك تايلور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2-4: النظريّات الحديثة للتنظيم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2-4-1: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2-4-2: النموذج الأوّل (نظريّة العلاقات الإنسانيّة) – ألتون مايو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2-4-3: النموذج الثاني (نظريّة التوازن التنظيمي) – شستر برنارد وهيربرت سايمون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الثاني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الدّراسات اللازمة لإنشاء المشاريع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         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أهمّية الدّراسات اللازمة لإنشاء المشاريع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العوامل التي يجب التأكد منها قبل إقامة المشروع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أنواع الدّراسات اللازمة لإنشاء المشاريع ومحتوياتها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2-3-1: مرحلة التعريف ومضمونها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2-3-2: المرحلة التمهيديّة ومضمونها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2-3-3: مرحلة التحليل والتقييم (دراسة الجدوى الإقتصاديّة) ومضمونها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2-3-3-1: تحليل السّوق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2-3-3-2: التحليل الفني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2-3-3-3: التحليل المادي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2-3-3-4: التحليل الإجتماعي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الثالث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الإدارة الماليّة ومصادر تمويل المؤسّسات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         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3-1: الإدارة الماليّة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3-1-2: مهامّها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3-2: مصادر تمويل المؤسّسة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3-2-1: المصادر الدّاخليّة (الرّساميل الخاصّة)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3-2-1-1: الرّأسمال الأصلي أو حصص المُسَاهمين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lastRenderedPageBreak/>
        <w:t>3-2-1-2: الإكتتاب العام بالأسهم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3-2-1-3: التمويل الذاتي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3-2-2: المصادر الخارجيّة (الرّساميل المقترضة)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3-2-2-1: الأموال المُقْترضة من المصارف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3-2-2-2: التمويل الإستثماري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3-2-2-3: الإعتماد الجاري للمُوَرِّدين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3-2-2-4: مقدّمات الزّبائن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3-2-2-5: الإعتماد التأجيري (قرض الإجارة)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lang w:bidi="ar-LB"/>
        </w:rPr>
      </w:pP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الرابع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الإعلان والتسويق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       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 xml:space="preserve">الإعلان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تعريف الإعلان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عناصر الإعلان الأساسيّة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1-3: أهميّة الإعلان لتسويق الإنتاج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1-4: وظائف الإعلان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1-5: أهداف الإعلان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1-6: المزيج الترويجي </w:t>
      </w:r>
    </w:p>
    <w:p w:rsidR="00DE0CB7" w:rsidRPr="006305C0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6305C0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الثاني</w:t>
      </w:r>
      <w:r w:rsidRPr="006305C0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6305C0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التسويق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التسويق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أهميّة التسويق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وظائف التسويق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2-4: أهداف التسويق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2-5: المزيج التسويقي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2-5- : تعريفه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2-5-2: عناصره (</w:t>
      </w:r>
      <w:r w:rsidRPr="00011372">
        <w:rPr>
          <w:rFonts w:asciiTheme="majorBidi" w:hAnsiTheme="majorBidi" w:cstheme="majorBidi"/>
          <w:sz w:val="26"/>
          <w:szCs w:val="26"/>
          <w:lang w:bidi="ar-LB"/>
        </w:rPr>
        <w:t>P’S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 </w:t>
      </w:r>
      <w:r w:rsidRPr="00011372">
        <w:rPr>
          <w:rFonts w:asciiTheme="majorBidi" w:hAnsiTheme="majorBidi" w:cstheme="majorBidi"/>
          <w:sz w:val="26"/>
          <w:szCs w:val="26"/>
          <w:lang w:val="en-CA"/>
        </w:rPr>
        <w:t>4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الخامس</w:t>
      </w:r>
    </w:p>
    <w:p w:rsidR="00DE0CB7" w:rsidRPr="00011372" w:rsidRDefault="00DE0CB7" w:rsidP="00DE0CB7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القانون التجاري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        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التجّار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التاجر الفرد (الشخص الطبيعي)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1-1-1: تعريف التجار، تعريف التاجر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1-1-2: الشروط الواجب توافرها في الشخص الطبيعي لاكتساب صفة التاجر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1-1-2-1: مزاولة الأعمال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1-1-2-2: إتخاذ التجارة مهنة له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1-1-2-3: مزاولة التجارة باسمه الشخصي ولحسابه الخاص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1-1-2-4: إمتلاك الأهليّة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موجبات التجّار المهنيّة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1-2-1: موجب القيد في السّجلّ التجاري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1-2-2: موجب مسك الدّفاتر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الثاني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المؤسّسة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المؤسّسة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عناصر المؤسّسة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2-2-1: العناصر المعنويّة (غير الماديّة)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2-2-1-1: الرّئيسيّة (الدّائمة)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(الإسم التجاري، الشعار، الزّبائن، حق الإيجار، المركز أو الموقع التجاري)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2-2-1-2: الثانويّة (غير الدّائمة) (تعداد)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lastRenderedPageBreak/>
        <w:t>2-2-1-3: الماديّة (المعدات والبضائع)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 : الفرق بين المؤسّسة التجاريّة والشركة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الثالث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الأسناد التجاريّة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3-1: سند السّحب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3-1-1: تعريف سند السّحب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3-1-2: شروط سند السّحب  (محتوياته الإلزاميّة)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3-2: السّند لأمر (السّند الإذني)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3-2-1: تعريف السّند لأمر</w:t>
      </w:r>
      <w:r w:rsidRPr="00011372"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  <w:t xml:space="preserve"> 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3-2-2: شروط السّند لأمر (محتوياته الإلزاميّة)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3-3: الشيك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3-3-1: تعريف الشيك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3-3-2: شروط الشيك (محتوياته الإلزاميّة)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3-4: الفرق بين سند السحب والسند لأمر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3-5: الفرق بين سند السحب والشيك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3-6: الفرق بين السند لأمر والشيك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الرابع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شركات الأشخاص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4-1: شركة التضامن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4-1-2: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4-1-3: إدارتها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4-2: شركة التوصية البسيطة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4-2-2: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4-3: شركة المَحَاصَّة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4-3-2: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4-3-3: إدارتها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الخامس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شركات الأموال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5-1: الشركة المُغفلة (المساهمة)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5-1-2: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5-1-3: إدارتها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5-2: شركة التوصية بالأسهم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5-2-2: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5-2-3: إدارتها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5-3: الفرق بين شركات الأشخاص وشركات الأموال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السادس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الشركة المحدودة المسؤوليّة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6-1: تعريفها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6-2: طبيعتها القانونيّة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6-3: خصائصها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6-4: إدارتها</w:t>
      </w:r>
    </w:p>
    <w:p w:rsidR="00DE0CB7" w:rsidRPr="00011372" w:rsidRDefault="00DE0CB7" w:rsidP="00DE0CB7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(ملاحظة : تمارين تطبيقيّة وأمثلة واقعيّة تعطى للطلاب مع كل درس من دروس القانون التجاري)</w:t>
      </w:r>
    </w:p>
    <w:p w:rsidR="00DE0CB7" w:rsidRPr="00A81A2A" w:rsidRDefault="00DE0CB7" w:rsidP="00DE0CB7">
      <w:pPr>
        <w:bidi/>
        <w:rPr>
          <w:rFonts w:ascii="Arial" w:hAnsi="Arial" w:cs="Simplified Arabic"/>
          <w:sz w:val="26"/>
          <w:szCs w:val="26"/>
          <w:lang w:eastAsia="fr-FR"/>
        </w:rPr>
        <w:sectPr w:rsidR="00DE0CB7" w:rsidRPr="00A81A2A" w:rsidSect="00DE0CB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/>
          <w:pgMar w:top="1418" w:right="851" w:bottom="1134" w:left="1134" w:header="567" w:footer="567" w:gutter="0"/>
          <w:paperSrc w:first="8242" w:other="8242"/>
          <w:cols w:space="720"/>
        </w:sect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6-5: الأسباب العامة لحل جميع أنواع الشركات</w:t>
      </w:r>
    </w:p>
    <w:p w:rsidR="005104FB" w:rsidRDefault="00DE0CB7" w:rsidP="00DE0CB7">
      <w:r w:rsidRPr="00A81A2A">
        <w:rPr>
          <w:rFonts w:ascii="Arial" w:hAnsi="Arial" w:cs="Simplified Arabic"/>
          <w:sz w:val="26"/>
          <w:szCs w:val="26"/>
          <w:lang w:eastAsia="fr-FR"/>
        </w:rPr>
        <w:lastRenderedPageBreak/>
        <w:br w:type="page"/>
      </w:r>
    </w:p>
    <w:sectPr w:rsidR="005104FB" w:rsidSect="0097771D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11D" w:rsidRDefault="0003711D" w:rsidP="00DE0CB7">
      <w:r>
        <w:separator/>
      </w:r>
    </w:p>
  </w:endnote>
  <w:endnote w:type="continuationSeparator" w:id="0">
    <w:p w:rsidR="0003711D" w:rsidRDefault="0003711D" w:rsidP="00DE0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3D" w:rsidRDefault="004664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3D" w:rsidRDefault="004664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3D" w:rsidRDefault="004664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11D" w:rsidRDefault="0003711D" w:rsidP="00DE0CB7">
      <w:r>
        <w:separator/>
      </w:r>
    </w:p>
  </w:footnote>
  <w:footnote w:type="continuationSeparator" w:id="0">
    <w:p w:rsidR="0003711D" w:rsidRDefault="0003711D" w:rsidP="00DE0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3D" w:rsidRDefault="004664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2A" w:rsidRPr="00492EC5" w:rsidRDefault="00492EC5" w:rsidP="00492EC5">
    <w:pPr>
      <w:pStyle w:val="Header"/>
      <w:rPr>
        <w:lang w:val="fr-FR"/>
      </w:rPr>
    </w:pPr>
    <w:r w:rsidRPr="00492EC5">
      <w:rPr>
        <w:lang w:val="fr-FR"/>
      </w:rPr>
      <w:t>TS</w:t>
    </w:r>
    <w:r w:rsidRPr="0046643D">
      <w:rPr>
        <w:vertAlign w:val="subscript"/>
        <w:lang w:val="fr-FR"/>
      </w:rPr>
      <w:t>2</w:t>
    </w:r>
    <w:r w:rsidRPr="00492EC5">
      <w:rPr>
        <w:lang w:val="fr-FR"/>
      </w:rPr>
      <w:t xml:space="preserve">- ELECTRONIQUE </w:t>
    </w:r>
    <w:r w:rsidR="0046643D">
      <w:rPr>
        <w:lang w:val="fr-FR"/>
      </w:rPr>
      <w:t xml:space="preserve">                                                                                                   </w:t>
    </w:r>
    <w:r w:rsidRPr="00492EC5">
      <w:rPr>
        <w:lang w:val="fr-FR"/>
      </w:rPr>
      <w:t>SUJET:GESTION ET  FINA</w:t>
    </w:r>
    <w:r>
      <w:rPr>
        <w:lang w:val="fr-FR"/>
      </w:rPr>
      <w:t>N</w:t>
    </w:r>
    <w:r w:rsidRPr="00492EC5">
      <w:rPr>
        <w:lang w:val="fr-FR"/>
      </w:rPr>
      <w:t>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3D" w:rsidRDefault="004664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71D"/>
    <w:rsid w:val="0003711D"/>
    <w:rsid w:val="000F7F76"/>
    <w:rsid w:val="0046643D"/>
    <w:rsid w:val="00492EC5"/>
    <w:rsid w:val="005104FB"/>
    <w:rsid w:val="00646AD2"/>
    <w:rsid w:val="00882E90"/>
    <w:rsid w:val="0097771D"/>
    <w:rsid w:val="00AF4219"/>
    <w:rsid w:val="00DE0CB7"/>
    <w:rsid w:val="00F71444"/>
    <w:rsid w:val="00FE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71D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97771D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97771D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71D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97771D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97771D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97771D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Header">
    <w:name w:val="header"/>
    <w:basedOn w:val="Normal"/>
    <w:link w:val="HeaderChar"/>
    <w:uiPriority w:val="99"/>
    <w:rsid w:val="00DE0CB7"/>
    <w:pPr>
      <w:tabs>
        <w:tab w:val="center" w:pos="4320"/>
        <w:tab w:val="right" w:pos="8640"/>
      </w:tabs>
      <w:jc w:val="right"/>
    </w:pPr>
    <w:rPr>
      <w:rFonts w:cs="Zaragoza LET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E0CB7"/>
    <w:rPr>
      <w:rFonts w:ascii="Times New Roman" w:eastAsia="Times New Roman" w:hAnsi="Times New Roman" w:cs="Zaragoza LET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E0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CB7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589</Words>
  <Characters>3361</Characters>
  <Application>Microsoft Office Word</Application>
  <DocSecurity>0</DocSecurity>
  <Lines>28</Lines>
  <Paragraphs>7</Paragraphs>
  <ScaleCrop>false</ScaleCrop>
  <Company>Toshiba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6</cp:revision>
  <dcterms:created xsi:type="dcterms:W3CDTF">2012-09-13T10:04:00Z</dcterms:created>
  <dcterms:modified xsi:type="dcterms:W3CDTF">2012-09-14T06:20:00Z</dcterms:modified>
</cp:coreProperties>
</file>